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6"/>
        <w:tblW w:w="9830" w:type="dxa"/>
        <w:tblLook w:val="01E0" w:firstRow="1" w:lastRow="1" w:firstColumn="1" w:lastColumn="1" w:noHBand="0" w:noVBand="0"/>
      </w:tblPr>
      <w:tblGrid>
        <w:gridCol w:w="9830"/>
      </w:tblGrid>
      <w:tr w:rsidR="00E24324" w:rsidRPr="00500061" w14:paraId="21C208FD" w14:textId="77777777" w:rsidTr="00643CE4">
        <w:trPr>
          <w:trHeight w:val="1559"/>
        </w:trPr>
        <w:tc>
          <w:tcPr>
            <w:tcW w:w="9830" w:type="dxa"/>
          </w:tcPr>
          <w:p w14:paraId="01C59309" w14:textId="77777777" w:rsidR="00E24324" w:rsidRDefault="00E24324" w:rsidP="00643CE4">
            <w:pPr>
              <w:spacing w:line="276" w:lineRule="auto"/>
              <w:jc w:val="center"/>
              <w:rPr>
                <w:rFonts w:cs="Arial"/>
                <w:sz w:val="20"/>
                <w:szCs w:val="20"/>
              </w:rPr>
            </w:pPr>
          </w:p>
          <w:p w14:paraId="13A679D1" w14:textId="77777777" w:rsidR="00E24324" w:rsidRDefault="00E24324" w:rsidP="00643CE4">
            <w:pPr>
              <w:spacing w:line="276" w:lineRule="auto"/>
              <w:jc w:val="center"/>
              <w:rPr>
                <w:rFonts w:cs="Arial"/>
                <w:sz w:val="20"/>
                <w:szCs w:val="20"/>
              </w:rPr>
            </w:pPr>
          </w:p>
          <w:p w14:paraId="749C0D95" w14:textId="77777777" w:rsidR="00E24324" w:rsidRPr="00500061" w:rsidRDefault="00E24324" w:rsidP="00643CE4">
            <w:pPr>
              <w:spacing w:line="276" w:lineRule="auto"/>
              <w:jc w:val="center"/>
              <w:rPr>
                <w:b/>
                <w:bCs w:val="0"/>
                <w:spacing w:val="152"/>
                <w:sz w:val="40"/>
                <w:szCs w:val="40"/>
              </w:rPr>
            </w:pPr>
          </w:p>
        </w:tc>
      </w:tr>
    </w:tbl>
    <w:p w14:paraId="2BDF8F21" w14:textId="77777777" w:rsidR="00E24324" w:rsidRPr="006C09F5" w:rsidRDefault="00E24324" w:rsidP="00E24324">
      <w:pPr>
        <w:spacing w:line="276" w:lineRule="auto"/>
        <w:jc w:val="center"/>
        <w:rPr>
          <w:vanish/>
        </w:rPr>
      </w:pPr>
    </w:p>
    <w:tbl>
      <w:tblPr>
        <w:tblW w:w="8364" w:type="dxa"/>
        <w:tblInd w:w="108" w:type="dxa"/>
        <w:tblLayout w:type="fixed"/>
        <w:tblLook w:val="01E0" w:firstRow="1" w:lastRow="1" w:firstColumn="1" w:lastColumn="1" w:noHBand="0" w:noVBand="0"/>
      </w:tblPr>
      <w:tblGrid>
        <w:gridCol w:w="4536"/>
        <w:gridCol w:w="3828"/>
      </w:tblGrid>
      <w:tr w:rsidR="00E24324" w:rsidRPr="008A0F7A" w14:paraId="579413D1" w14:textId="77777777" w:rsidTr="00643CE4">
        <w:trPr>
          <w:trHeight w:val="865"/>
        </w:trPr>
        <w:tc>
          <w:tcPr>
            <w:tcW w:w="4536" w:type="dxa"/>
            <w:vAlign w:val="bottom"/>
          </w:tcPr>
          <w:p w14:paraId="3A82A7D3" w14:textId="77777777" w:rsidR="00E24324" w:rsidRPr="008A0F7A" w:rsidRDefault="00E24324" w:rsidP="00643CE4">
            <w:pPr>
              <w:spacing w:line="276" w:lineRule="auto"/>
              <w:jc w:val="center"/>
              <w:rPr>
                <w:rFonts w:cs="Guttman Hodes"/>
                <w:spacing w:val="32"/>
                <w:sz w:val="20"/>
                <w:szCs w:val="20"/>
              </w:rPr>
            </w:pPr>
            <w:r w:rsidRPr="008A0F7A">
              <w:rPr>
                <w:noProof/>
                <w:lang w:bidi="ar-SA"/>
              </w:rPr>
              <w:drawing>
                <wp:anchor distT="0" distB="0" distL="114300" distR="114300" simplePos="0" relativeHeight="251659264" behindDoc="1" locked="0" layoutInCell="1" allowOverlap="1" wp14:anchorId="66C92C3D" wp14:editId="4EB30EE7">
                  <wp:simplePos x="0" y="0"/>
                  <wp:positionH relativeFrom="column">
                    <wp:posOffset>167640</wp:posOffset>
                  </wp:positionH>
                  <wp:positionV relativeFrom="paragraph">
                    <wp:posOffset>-1035685</wp:posOffset>
                  </wp:positionV>
                  <wp:extent cx="5238750" cy="1343025"/>
                  <wp:effectExtent l="0" t="0" r="0" b="9525"/>
                  <wp:wrapNone/>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D2464" w14:textId="77777777" w:rsidR="00E24324" w:rsidRPr="008A0F7A" w:rsidRDefault="00E24324" w:rsidP="00643CE4">
            <w:pPr>
              <w:spacing w:line="276" w:lineRule="auto"/>
              <w:jc w:val="center"/>
              <w:rPr>
                <w:rFonts w:cs="Guttman Hodes"/>
                <w:spacing w:val="32"/>
                <w:sz w:val="20"/>
                <w:szCs w:val="20"/>
              </w:rPr>
            </w:pPr>
          </w:p>
          <w:p w14:paraId="1319E8E5" w14:textId="77777777" w:rsidR="00E24324" w:rsidRPr="008A0F7A" w:rsidRDefault="00E24324" w:rsidP="00643CE4">
            <w:pPr>
              <w:spacing w:line="276" w:lineRule="auto"/>
              <w:jc w:val="center"/>
              <w:rPr>
                <w:rFonts w:cs="Guttman Hodes"/>
                <w:spacing w:val="32"/>
                <w:sz w:val="20"/>
                <w:szCs w:val="20"/>
              </w:rPr>
            </w:pPr>
          </w:p>
          <w:p w14:paraId="6408677D" w14:textId="77777777" w:rsidR="00E24324" w:rsidRPr="008A0F7A" w:rsidRDefault="00E24324" w:rsidP="00643CE4">
            <w:pPr>
              <w:spacing w:line="276" w:lineRule="auto"/>
              <w:ind w:left="318"/>
              <w:rPr>
                <w:rFonts w:cs="Guttman Hodes"/>
                <w:spacing w:val="32"/>
                <w:sz w:val="20"/>
                <w:szCs w:val="20"/>
                <w:rtl/>
              </w:rPr>
            </w:pPr>
            <w:r w:rsidRPr="008A0F7A">
              <w:rPr>
                <w:rFonts w:cs="Guttman Hodes"/>
                <w:spacing w:val="32"/>
                <w:sz w:val="20"/>
                <w:szCs w:val="20"/>
              </w:rPr>
              <w:t>Department of Summer Courses</w:t>
            </w:r>
          </w:p>
          <w:p w14:paraId="31771F7F" w14:textId="77777777" w:rsidR="00E24324" w:rsidRPr="008A0F7A" w:rsidRDefault="00E24324" w:rsidP="00643CE4">
            <w:pPr>
              <w:spacing w:line="276" w:lineRule="auto"/>
              <w:ind w:left="318"/>
              <w:rPr>
                <w:b/>
                <w:bCs w:val="0"/>
                <w:spacing w:val="152"/>
                <w:sz w:val="40"/>
                <w:szCs w:val="40"/>
              </w:rPr>
            </w:pPr>
            <w:r w:rsidRPr="008A0F7A">
              <w:rPr>
                <w:rFonts w:cs="Guttman Hodes"/>
                <w:spacing w:val="32"/>
                <w:sz w:val="20"/>
                <w:szCs w:val="20"/>
              </w:rPr>
              <w:t>and Special Programs</w:t>
            </w:r>
          </w:p>
        </w:tc>
        <w:tc>
          <w:tcPr>
            <w:tcW w:w="3828" w:type="dxa"/>
            <w:vAlign w:val="bottom"/>
          </w:tcPr>
          <w:p w14:paraId="420012FE" w14:textId="77777777" w:rsidR="00E24324" w:rsidRPr="008A0F7A" w:rsidRDefault="00E24324" w:rsidP="00643CE4">
            <w:pPr>
              <w:bidi/>
              <w:spacing w:line="276" w:lineRule="auto"/>
              <w:jc w:val="center"/>
            </w:pPr>
          </w:p>
          <w:p w14:paraId="17E57B88" w14:textId="77777777" w:rsidR="00E24324" w:rsidRPr="008A0F7A" w:rsidRDefault="00E24324" w:rsidP="00643CE4">
            <w:pPr>
              <w:bidi/>
              <w:spacing w:line="276" w:lineRule="auto"/>
              <w:rPr>
                <w:rFonts w:cs="David"/>
                <w:rtl/>
              </w:rPr>
            </w:pPr>
            <w:r w:rsidRPr="008A0F7A">
              <w:rPr>
                <w:rFonts w:cs="David" w:hint="cs"/>
                <w:rtl/>
              </w:rPr>
              <w:t>ה</w:t>
            </w:r>
            <w:r w:rsidRPr="008A0F7A">
              <w:rPr>
                <w:rFonts w:cs="David"/>
              </w:rPr>
              <w:t xml:space="preserve"> </w:t>
            </w:r>
            <w:r w:rsidRPr="008A0F7A">
              <w:rPr>
                <w:rFonts w:cs="David" w:hint="cs"/>
                <w:rtl/>
              </w:rPr>
              <w:t>מ</w:t>
            </w:r>
            <w:r w:rsidRPr="008A0F7A">
              <w:rPr>
                <w:rFonts w:cs="David"/>
              </w:rPr>
              <w:t xml:space="preserve"> </w:t>
            </w:r>
            <w:r w:rsidRPr="008A0F7A">
              <w:rPr>
                <w:rFonts w:cs="David" w:hint="cs"/>
                <w:rtl/>
              </w:rPr>
              <w:t>ח</w:t>
            </w:r>
            <w:r w:rsidRPr="008A0F7A">
              <w:rPr>
                <w:rFonts w:cs="David"/>
              </w:rPr>
              <w:t xml:space="preserve"> </w:t>
            </w:r>
            <w:r w:rsidRPr="008A0F7A">
              <w:rPr>
                <w:rFonts w:cs="David" w:hint="cs"/>
                <w:rtl/>
              </w:rPr>
              <w:t>ל</w:t>
            </w:r>
            <w:r w:rsidRPr="008A0F7A">
              <w:rPr>
                <w:rFonts w:cs="David"/>
              </w:rPr>
              <w:t xml:space="preserve"> </w:t>
            </w:r>
            <w:r w:rsidRPr="008A0F7A">
              <w:rPr>
                <w:rFonts w:cs="David" w:hint="cs"/>
                <w:rtl/>
              </w:rPr>
              <w:t>ק</w:t>
            </w:r>
            <w:r w:rsidRPr="008A0F7A">
              <w:rPr>
                <w:rFonts w:cs="David"/>
              </w:rPr>
              <w:t xml:space="preserve"> </w:t>
            </w:r>
            <w:r w:rsidRPr="008A0F7A">
              <w:rPr>
                <w:rFonts w:cs="David" w:hint="cs"/>
                <w:rtl/>
              </w:rPr>
              <w:t>ה</w:t>
            </w:r>
            <w:r w:rsidRPr="008A0F7A">
              <w:rPr>
                <w:rFonts w:cs="David"/>
              </w:rPr>
              <w:t xml:space="preserve">   </w:t>
            </w:r>
            <w:r w:rsidRPr="008A0F7A">
              <w:rPr>
                <w:rFonts w:cs="David" w:hint="cs"/>
                <w:rtl/>
              </w:rPr>
              <w:t xml:space="preserve"> ל</w:t>
            </w:r>
            <w:r w:rsidRPr="008A0F7A">
              <w:rPr>
                <w:rFonts w:cs="David"/>
              </w:rPr>
              <w:t xml:space="preserve"> </w:t>
            </w:r>
            <w:r w:rsidRPr="008A0F7A">
              <w:rPr>
                <w:rFonts w:cs="David" w:hint="cs"/>
                <w:rtl/>
              </w:rPr>
              <w:t>ק</w:t>
            </w:r>
            <w:r w:rsidRPr="008A0F7A">
              <w:rPr>
                <w:rFonts w:cs="David"/>
              </w:rPr>
              <w:t xml:space="preserve"> </w:t>
            </w:r>
            <w:r w:rsidRPr="008A0F7A">
              <w:rPr>
                <w:rFonts w:cs="David" w:hint="cs"/>
                <w:rtl/>
              </w:rPr>
              <w:t>ו</w:t>
            </w:r>
            <w:r w:rsidRPr="008A0F7A">
              <w:rPr>
                <w:rFonts w:cs="David"/>
              </w:rPr>
              <w:t xml:space="preserve"> </w:t>
            </w:r>
            <w:r w:rsidRPr="008A0F7A">
              <w:rPr>
                <w:rFonts w:cs="David" w:hint="cs"/>
                <w:rtl/>
              </w:rPr>
              <w:t>ר</w:t>
            </w:r>
            <w:r w:rsidRPr="008A0F7A">
              <w:rPr>
                <w:rFonts w:cs="David"/>
              </w:rPr>
              <w:t xml:space="preserve"> </w:t>
            </w:r>
            <w:r w:rsidRPr="008A0F7A">
              <w:rPr>
                <w:rFonts w:cs="David" w:hint="cs"/>
                <w:rtl/>
              </w:rPr>
              <w:t>ס</w:t>
            </w:r>
            <w:r w:rsidRPr="008A0F7A">
              <w:rPr>
                <w:rFonts w:cs="David"/>
              </w:rPr>
              <w:t xml:space="preserve"> </w:t>
            </w:r>
            <w:r w:rsidRPr="008A0F7A">
              <w:rPr>
                <w:rFonts w:cs="David" w:hint="cs"/>
                <w:rtl/>
              </w:rPr>
              <w:t>י</w:t>
            </w:r>
            <w:r w:rsidRPr="008A0F7A">
              <w:rPr>
                <w:rFonts w:cs="David"/>
              </w:rPr>
              <w:t xml:space="preserve">   </w:t>
            </w:r>
            <w:r w:rsidRPr="008A0F7A">
              <w:rPr>
                <w:rFonts w:cs="David" w:hint="cs"/>
                <w:rtl/>
              </w:rPr>
              <w:t xml:space="preserve"> ק</w:t>
            </w:r>
            <w:r w:rsidRPr="008A0F7A">
              <w:rPr>
                <w:rFonts w:cs="David"/>
              </w:rPr>
              <w:t xml:space="preserve"> </w:t>
            </w:r>
            <w:r w:rsidRPr="008A0F7A">
              <w:rPr>
                <w:rFonts w:cs="David" w:hint="cs"/>
                <w:rtl/>
              </w:rPr>
              <w:t>י</w:t>
            </w:r>
            <w:r w:rsidRPr="008A0F7A">
              <w:rPr>
                <w:rFonts w:cs="David"/>
              </w:rPr>
              <w:t xml:space="preserve"> </w:t>
            </w:r>
            <w:r w:rsidRPr="008A0F7A">
              <w:rPr>
                <w:rFonts w:cs="David" w:hint="cs"/>
                <w:rtl/>
              </w:rPr>
              <w:t>ץ</w:t>
            </w:r>
          </w:p>
          <w:p w14:paraId="59C0E167" w14:textId="77777777" w:rsidR="00E24324" w:rsidRPr="008A0F7A" w:rsidRDefault="00E24324" w:rsidP="00643CE4">
            <w:pPr>
              <w:bidi/>
              <w:spacing w:line="276" w:lineRule="auto"/>
              <w:rPr>
                <w:b/>
                <w:bCs w:val="0"/>
                <w:spacing w:val="152"/>
                <w:sz w:val="40"/>
                <w:szCs w:val="40"/>
              </w:rPr>
            </w:pPr>
            <w:r w:rsidRPr="008A0F7A">
              <w:rPr>
                <w:rFonts w:cs="David" w:hint="cs"/>
                <w:rtl/>
              </w:rPr>
              <w:t>ו</w:t>
            </w:r>
            <w:r w:rsidRPr="008A0F7A">
              <w:rPr>
                <w:rFonts w:cs="David"/>
              </w:rPr>
              <w:t xml:space="preserve"> </w:t>
            </w:r>
            <w:r w:rsidRPr="008A0F7A">
              <w:rPr>
                <w:rFonts w:cs="David" w:hint="cs"/>
                <w:rtl/>
              </w:rPr>
              <w:t>ת</w:t>
            </w:r>
            <w:r w:rsidRPr="008A0F7A">
              <w:rPr>
                <w:rFonts w:cs="David"/>
              </w:rPr>
              <w:t xml:space="preserve"> </w:t>
            </w:r>
            <w:r w:rsidRPr="008A0F7A">
              <w:rPr>
                <w:rFonts w:cs="David" w:hint="cs"/>
                <w:rtl/>
              </w:rPr>
              <w:t>ו</w:t>
            </w:r>
            <w:r w:rsidRPr="008A0F7A">
              <w:rPr>
                <w:rFonts w:cs="David"/>
              </w:rPr>
              <w:t xml:space="preserve"> </w:t>
            </w:r>
            <w:r w:rsidRPr="008A0F7A">
              <w:rPr>
                <w:rFonts w:cs="David" w:hint="cs"/>
                <w:rtl/>
              </w:rPr>
              <w:t>כ</w:t>
            </w:r>
            <w:r w:rsidRPr="008A0F7A">
              <w:rPr>
                <w:rFonts w:cs="David"/>
              </w:rPr>
              <w:t xml:space="preserve"> </w:t>
            </w:r>
            <w:r w:rsidRPr="008A0F7A">
              <w:rPr>
                <w:rFonts w:cs="David" w:hint="cs"/>
                <w:rtl/>
              </w:rPr>
              <w:t>נ</w:t>
            </w:r>
            <w:r w:rsidRPr="008A0F7A">
              <w:rPr>
                <w:rFonts w:cs="David"/>
              </w:rPr>
              <w:t xml:space="preserve"> </w:t>
            </w:r>
            <w:r w:rsidRPr="008A0F7A">
              <w:rPr>
                <w:rFonts w:cs="David" w:hint="cs"/>
                <w:rtl/>
              </w:rPr>
              <w:t>י</w:t>
            </w:r>
            <w:r w:rsidRPr="008A0F7A">
              <w:rPr>
                <w:rFonts w:cs="David"/>
              </w:rPr>
              <w:t xml:space="preserve"> </w:t>
            </w:r>
            <w:r w:rsidRPr="008A0F7A">
              <w:rPr>
                <w:rFonts w:cs="David" w:hint="cs"/>
                <w:rtl/>
              </w:rPr>
              <w:t>ו</w:t>
            </w:r>
            <w:r w:rsidRPr="008A0F7A">
              <w:rPr>
                <w:rFonts w:cs="David"/>
              </w:rPr>
              <w:t xml:space="preserve"> </w:t>
            </w:r>
            <w:r w:rsidRPr="008A0F7A">
              <w:rPr>
                <w:rFonts w:cs="David" w:hint="cs"/>
                <w:rtl/>
              </w:rPr>
              <w:t>ת</w:t>
            </w:r>
            <w:r w:rsidRPr="008A0F7A">
              <w:rPr>
                <w:rFonts w:cs="David"/>
              </w:rPr>
              <w:t xml:space="preserve">   </w:t>
            </w:r>
            <w:r w:rsidRPr="008A0F7A">
              <w:rPr>
                <w:rFonts w:cs="David" w:hint="cs"/>
                <w:rtl/>
              </w:rPr>
              <w:t xml:space="preserve"> מ</w:t>
            </w:r>
            <w:r w:rsidRPr="008A0F7A">
              <w:rPr>
                <w:rFonts w:cs="David"/>
              </w:rPr>
              <w:t xml:space="preserve"> </w:t>
            </w:r>
            <w:r w:rsidRPr="008A0F7A">
              <w:rPr>
                <w:rFonts w:cs="David" w:hint="cs"/>
                <w:rtl/>
              </w:rPr>
              <w:t>י</w:t>
            </w:r>
            <w:r w:rsidRPr="008A0F7A">
              <w:rPr>
                <w:rFonts w:cs="David"/>
              </w:rPr>
              <w:t xml:space="preserve"> </w:t>
            </w:r>
            <w:r w:rsidRPr="008A0F7A">
              <w:rPr>
                <w:rFonts w:cs="David" w:hint="cs"/>
                <w:rtl/>
              </w:rPr>
              <w:t>ו</w:t>
            </w:r>
            <w:r w:rsidRPr="008A0F7A">
              <w:rPr>
                <w:rFonts w:cs="David"/>
              </w:rPr>
              <w:t xml:space="preserve"> </w:t>
            </w:r>
            <w:r w:rsidRPr="008A0F7A">
              <w:rPr>
                <w:rFonts w:cs="David" w:hint="cs"/>
                <w:rtl/>
              </w:rPr>
              <w:t>ח</w:t>
            </w:r>
            <w:r w:rsidRPr="008A0F7A">
              <w:rPr>
                <w:rFonts w:cs="David"/>
              </w:rPr>
              <w:t xml:space="preserve"> </w:t>
            </w:r>
            <w:r w:rsidRPr="008A0F7A">
              <w:rPr>
                <w:rFonts w:cs="David" w:hint="cs"/>
                <w:rtl/>
              </w:rPr>
              <w:t>ד</w:t>
            </w:r>
            <w:r w:rsidRPr="008A0F7A">
              <w:rPr>
                <w:rFonts w:cs="David"/>
              </w:rPr>
              <w:t xml:space="preserve"> </w:t>
            </w:r>
            <w:r w:rsidRPr="008A0F7A">
              <w:rPr>
                <w:rFonts w:cs="David" w:hint="cs"/>
                <w:rtl/>
              </w:rPr>
              <w:t>ו</w:t>
            </w:r>
            <w:r w:rsidRPr="008A0F7A">
              <w:rPr>
                <w:rFonts w:cs="David"/>
              </w:rPr>
              <w:t xml:space="preserve"> </w:t>
            </w:r>
            <w:r w:rsidRPr="008A0F7A">
              <w:rPr>
                <w:rFonts w:cs="David" w:hint="cs"/>
                <w:rtl/>
              </w:rPr>
              <w:t>ת</w:t>
            </w:r>
          </w:p>
        </w:tc>
      </w:tr>
    </w:tbl>
    <w:p w14:paraId="03822328" w14:textId="77777777" w:rsidR="00E24324" w:rsidRDefault="00E24324" w:rsidP="00E24324">
      <w:pPr>
        <w:spacing w:after="0" w:line="240" w:lineRule="auto"/>
        <w:jc w:val="center"/>
        <w:rPr>
          <w:rFonts w:cs="Times New Roman"/>
          <w:b/>
          <w:color w:val="800000"/>
          <w:sz w:val="32"/>
          <w:szCs w:val="32"/>
        </w:rPr>
      </w:pPr>
    </w:p>
    <w:p w14:paraId="46B2D85A" w14:textId="77777777" w:rsidR="00E24324" w:rsidRPr="00E24324" w:rsidRDefault="00E24324" w:rsidP="00E24324">
      <w:pPr>
        <w:spacing w:after="0" w:line="240" w:lineRule="auto"/>
        <w:jc w:val="center"/>
        <w:rPr>
          <w:rFonts w:cs="Times New Roman"/>
          <w:b/>
          <w:color w:val="800000"/>
          <w:sz w:val="32"/>
          <w:szCs w:val="32"/>
        </w:rPr>
      </w:pPr>
      <w:r w:rsidRPr="00E24324">
        <w:rPr>
          <w:rFonts w:cs="Times New Roman"/>
          <w:b/>
          <w:color w:val="800000"/>
          <w:sz w:val="32"/>
          <w:szCs w:val="32"/>
        </w:rPr>
        <w:t>Never Again and Now: A Study of Antisemitism</w:t>
      </w:r>
    </w:p>
    <w:p w14:paraId="692AEC1C" w14:textId="4BD24AE4" w:rsidR="00E24324" w:rsidRDefault="00E24324" w:rsidP="00E24324">
      <w:pPr>
        <w:spacing w:after="0" w:line="240" w:lineRule="auto"/>
        <w:jc w:val="center"/>
        <w:rPr>
          <w:rFonts w:cs="Times New Roman"/>
          <w:b/>
          <w:bCs w:val="0"/>
          <w:color w:val="800000"/>
          <w:sz w:val="32"/>
          <w:szCs w:val="32"/>
        </w:rPr>
      </w:pPr>
      <w:r>
        <w:rPr>
          <w:rFonts w:cs="Times New Roman"/>
          <w:b/>
          <w:color w:val="800000"/>
          <w:sz w:val="32"/>
          <w:szCs w:val="32"/>
        </w:rPr>
        <w:t xml:space="preserve"> </w:t>
      </w:r>
      <w:r w:rsidRPr="00593E68">
        <w:rPr>
          <w:rFonts w:cs="Times New Roman"/>
          <w:b/>
          <w:color w:val="800000"/>
          <w:sz w:val="32"/>
          <w:szCs w:val="32"/>
        </w:rPr>
        <w:t>– Non-Credit Online Lecture Series</w:t>
      </w:r>
      <w:r w:rsidR="00561733">
        <w:rPr>
          <w:rFonts w:cs="Times New Roman"/>
          <w:b/>
          <w:bCs w:val="0"/>
          <w:color w:val="800000"/>
          <w:sz w:val="32"/>
          <w:szCs w:val="32"/>
        </w:rPr>
        <w:t xml:space="preserve"> -</w:t>
      </w:r>
      <w:r w:rsidR="00561733" w:rsidRPr="00561733">
        <w:t xml:space="preserve"> </w:t>
      </w:r>
      <w:r w:rsidR="00561733" w:rsidRPr="00561733">
        <w:rPr>
          <w:rFonts w:cs="Times New Roman"/>
          <w:b/>
          <w:bCs w:val="0"/>
          <w:color w:val="800000"/>
          <w:sz w:val="32"/>
          <w:szCs w:val="32"/>
        </w:rPr>
        <w:t>48890</w:t>
      </w:r>
      <w:bookmarkStart w:id="0" w:name="_GoBack"/>
      <w:bookmarkEnd w:id="0"/>
    </w:p>
    <w:p w14:paraId="381558C9" w14:textId="77777777" w:rsidR="00E24324" w:rsidRDefault="00E24324" w:rsidP="00E24324">
      <w:pPr>
        <w:spacing w:after="0" w:line="240" w:lineRule="auto"/>
        <w:jc w:val="center"/>
        <w:rPr>
          <w:rFonts w:cs="Times New Roman"/>
          <w:b/>
          <w:bCs w:val="0"/>
          <w:color w:val="800000"/>
          <w:sz w:val="32"/>
          <w:szCs w:val="32"/>
        </w:rPr>
      </w:pPr>
    </w:p>
    <w:p w14:paraId="58948C42" w14:textId="61400A38" w:rsidR="00E24324" w:rsidRDefault="00E24324" w:rsidP="00E24324">
      <w:pPr>
        <w:spacing w:after="0" w:line="240" w:lineRule="auto"/>
        <w:jc w:val="center"/>
        <w:rPr>
          <w:rFonts w:cs="Times New Roman"/>
          <w:i/>
          <w:iCs/>
          <w:color w:val="800000"/>
          <w:sz w:val="28"/>
          <w:szCs w:val="28"/>
        </w:rPr>
      </w:pPr>
      <w:r w:rsidRPr="00E24324">
        <w:rPr>
          <w:rFonts w:cs="Times New Roman"/>
          <w:i/>
          <w:iCs/>
          <w:color w:val="800000"/>
          <w:sz w:val="28"/>
          <w:szCs w:val="28"/>
        </w:rPr>
        <w:t>Katherine Aron-Beller (</w:t>
      </w:r>
      <w:proofErr w:type="gramStart"/>
      <w:r w:rsidRPr="00E24324">
        <w:rPr>
          <w:rFonts w:cs="Times New Roman"/>
          <w:i/>
          <w:iCs/>
          <w:color w:val="800000"/>
          <w:sz w:val="28"/>
          <w:szCs w:val="28"/>
        </w:rPr>
        <w:t>Ph.D</w:t>
      </w:r>
      <w:proofErr w:type="gramEnd"/>
      <w:r w:rsidRPr="00E24324">
        <w:rPr>
          <w:rFonts w:cs="Times New Roman"/>
          <w:i/>
          <w:iCs/>
          <w:color w:val="800000"/>
          <w:sz w:val="28"/>
          <w:szCs w:val="28"/>
        </w:rPr>
        <w:t>)</w:t>
      </w:r>
    </w:p>
    <w:p w14:paraId="70D4E7F9" w14:textId="39285677" w:rsidR="00E24324" w:rsidRPr="00E24324" w:rsidRDefault="00561733" w:rsidP="00E24324">
      <w:pPr>
        <w:spacing w:after="0" w:line="240" w:lineRule="auto"/>
        <w:jc w:val="center"/>
        <w:rPr>
          <w:rFonts w:cs="Times New Roman"/>
          <w:color w:val="800000"/>
          <w:sz w:val="28"/>
          <w:szCs w:val="28"/>
        </w:rPr>
      </w:pPr>
      <w:hyperlink r:id="rId7" w:history="1">
        <w:r w:rsidR="00E24324" w:rsidRPr="00E24324">
          <w:rPr>
            <w:rStyle w:val="Hyperlink"/>
            <w:rFonts w:cs="Times New Roman"/>
          </w:rPr>
          <w:t>kathybeller8@gmail.com</w:t>
        </w:r>
      </w:hyperlink>
      <w:r w:rsidR="00E24324" w:rsidRPr="00E24324">
        <w:rPr>
          <w:rFonts w:cs="Times New Roman"/>
          <w:color w:val="800000"/>
          <w:sz w:val="28"/>
          <w:szCs w:val="28"/>
        </w:rPr>
        <w:t xml:space="preserve"> </w:t>
      </w:r>
    </w:p>
    <w:p w14:paraId="4D037D37" w14:textId="77777777" w:rsidR="00E24324" w:rsidRPr="00E24324" w:rsidRDefault="00E24324" w:rsidP="00E24324">
      <w:pPr>
        <w:spacing w:after="0" w:line="240" w:lineRule="auto"/>
        <w:jc w:val="center"/>
        <w:rPr>
          <w:rFonts w:cs="Times New Roman"/>
          <w:i/>
          <w:iCs/>
          <w:color w:val="800000"/>
          <w:sz w:val="28"/>
          <w:szCs w:val="28"/>
        </w:rPr>
      </w:pPr>
    </w:p>
    <w:p w14:paraId="7B1A3FCA" w14:textId="77777777" w:rsidR="00E24324" w:rsidRDefault="00E24324" w:rsidP="00E24324">
      <w:pPr>
        <w:spacing w:after="0" w:line="240" w:lineRule="auto"/>
        <w:jc w:val="center"/>
        <w:rPr>
          <w:rFonts w:asciiTheme="majorBidi" w:eastAsia="Arial" w:hAnsiTheme="majorBidi" w:cstheme="majorBidi"/>
          <w:color w:val="000000"/>
        </w:rPr>
      </w:pPr>
      <w:r w:rsidRPr="00E24324">
        <w:rPr>
          <w:rFonts w:asciiTheme="majorBidi" w:eastAsia="Arial" w:hAnsiTheme="majorBidi" w:cstheme="majorBidi"/>
          <w:color w:val="000000"/>
        </w:rPr>
        <w:t>November 10 – December 15, 2024</w:t>
      </w:r>
    </w:p>
    <w:p w14:paraId="3EB9DE5C" w14:textId="03601FBA" w:rsidR="00E24324" w:rsidRDefault="00E24324" w:rsidP="00E24324">
      <w:pPr>
        <w:spacing w:after="0" w:line="240" w:lineRule="auto"/>
        <w:jc w:val="center"/>
        <w:rPr>
          <w:rFonts w:asciiTheme="majorBidi" w:eastAsia="Arial" w:hAnsiTheme="majorBidi" w:cstheme="majorBidi"/>
          <w:color w:val="000000"/>
        </w:rPr>
      </w:pPr>
      <w:r w:rsidRPr="00E24324">
        <w:rPr>
          <w:rFonts w:asciiTheme="majorBidi" w:eastAsia="Arial" w:hAnsiTheme="majorBidi" w:cstheme="majorBidi"/>
          <w:color w:val="000000"/>
        </w:rPr>
        <w:t>Sundays from 11:00 AM to 12:00 PM EST</w:t>
      </w:r>
    </w:p>
    <w:p w14:paraId="19ADD8F9" w14:textId="77777777" w:rsidR="00E24324" w:rsidRPr="00E24324" w:rsidRDefault="00E24324" w:rsidP="00E24324">
      <w:pPr>
        <w:spacing w:after="0" w:line="240" w:lineRule="auto"/>
        <w:jc w:val="center"/>
        <w:rPr>
          <w:rFonts w:asciiTheme="majorBidi" w:eastAsia="Arial" w:hAnsiTheme="majorBidi" w:cstheme="majorBidi"/>
          <w:color w:val="000000"/>
        </w:rPr>
      </w:pPr>
    </w:p>
    <w:p w14:paraId="7B9449D1" w14:textId="46D3A82B" w:rsidR="00E24324" w:rsidRDefault="00E24324" w:rsidP="00E24324">
      <w:pPr>
        <w:spacing w:after="0" w:line="240" w:lineRule="auto"/>
        <w:jc w:val="center"/>
        <w:rPr>
          <w:rFonts w:asciiTheme="majorBidi" w:eastAsia="Arial" w:hAnsiTheme="majorBidi" w:cstheme="majorBidi"/>
          <w:color w:val="FF0000"/>
        </w:rPr>
      </w:pPr>
      <w:r w:rsidRPr="00EB183B">
        <w:rPr>
          <w:rFonts w:asciiTheme="majorBidi" w:eastAsia="Arial" w:hAnsiTheme="majorBidi" w:cstheme="majorBidi"/>
          <w:color w:val="FF0000"/>
        </w:rPr>
        <w:t xml:space="preserve">Tentative </w:t>
      </w:r>
      <w:r>
        <w:rPr>
          <w:rFonts w:asciiTheme="majorBidi" w:eastAsia="Arial" w:hAnsiTheme="majorBidi" w:cstheme="majorBidi"/>
          <w:color w:val="FF0000"/>
        </w:rPr>
        <w:t>lecture series overview</w:t>
      </w:r>
      <w:r w:rsidRPr="00EB183B">
        <w:rPr>
          <w:rFonts w:asciiTheme="majorBidi" w:eastAsia="Arial" w:hAnsiTheme="majorBidi" w:cstheme="majorBidi"/>
          <w:color w:val="FF0000"/>
        </w:rPr>
        <w:t xml:space="preserve"> </w:t>
      </w:r>
    </w:p>
    <w:p w14:paraId="40E74573" w14:textId="77777777" w:rsidR="00E24324" w:rsidRPr="00EB183B" w:rsidRDefault="00E24324" w:rsidP="00E24324">
      <w:pPr>
        <w:spacing w:after="0" w:line="240" w:lineRule="auto"/>
        <w:jc w:val="center"/>
        <w:rPr>
          <w:rFonts w:asciiTheme="majorBidi" w:eastAsia="Arial" w:hAnsiTheme="majorBidi" w:cstheme="majorBidi"/>
          <w:color w:val="FF0000"/>
        </w:rPr>
      </w:pPr>
    </w:p>
    <w:p w14:paraId="1A14C8FC" w14:textId="77777777" w:rsidR="00E24324" w:rsidRPr="00E24324" w:rsidRDefault="00E24324" w:rsidP="00356806">
      <w:pPr>
        <w:jc w:val="center"/>
      </w:pPr>
    </w:p>
    <w:p w14:paraId="41EECE27" w14:textId="75C71B07" w:rsidR="00356806" w:rsidRPr="004F1839" w:rsidRDefault="00356806" w:rsidP="004F1839">
      <w:pPr>
        <w:jc w:val="both"/>
        <w:rPr>
          <w:rFonts w:asciiTheme="majorBidi" w:hAnsiTheme="majorBidi" w:cstheme="majorBidi"/>
        </w:rPr>
      </w:pPr>
      <w:r w:rsidRPr="004F1839">
        <w:rPr>
          <w:rFonts w:asciiTheme="majorBidi" w:hAnsiTheme="majorBidi" w:cstheme="majorBidi"/>
        </w:rPr>
        <w:t xml:space="preserve">During recent years, and particularly after October </w:t>
      </w:r>
      <w:r w:rsidR="00CB3859">
        <w:rPr>
          <w:rFonts w:asciiTheme="majorBidi" w:hAnsiTheme="majorBidi" w:cstheme="majorBidi"/>
        </w:rPr>
        <w:t>7th 2023</w:t>
      </w:r>
      <w:r w:rsidR="004F1839" w:rsidRPr="004F1839">
        <w:rPr>
          <w:rFonts w:asciiTheme="majorBidi" w:hAnsiTheme="majorBidi" w:cstheme="majorBidi"/>
        </w:rPr>
        <w:t>,</w:t>
      </w:r>
      <w:r w:rsidRPr="004F1839">
        <w:rPr>
          <w:rFonts w:asciiTheme="majorBidi" w:hAnsiTheme="majorBidi" w:cstheme="majorBidi"/>
        </w:rPr>
        <w:t xml:space="preserve"> the world has witnessed an upsurge in antisemitic incidents and rhetoric </w:t>
      </w:r>
      <w:r w:rsidR="00CB3859">
        <w:rPr>
          <w:rFonts w:asciiTheme="majorBidi" w:hAnsiTheme="majorBidi" w:cstheme="majorBidi"/>
        </w:rPr>
        <w:t xml:space="preserve">on city streets, in work and domestic spaces and on university campuses in the United States, Europe and elsewhere. How can we define this term, antisemitism, that has been used to denote a range of phenomena that disparage Jews and Judaism, and try to explain how and why it has changed and continues to do so? </w:t>
      </w:r>
      <w:r w:rsidRPr="004F1839">
        <w:rPr>
          <w:rFonts w:asciiTheme="majorBidi" w:hAnsiTheme="majorBidi" w:cstheme="majorBidi"/>
        </w:rPr>
        <w:t xml:space="preserve">This </w:t>
      </w:r>
      <w:r w:rsidR="00AC5131">
        <w:rPr>
          <w:rFonts w:asciiTheme="majorBidi" w:hAnsiTheme="majorBidi" w:cstheme="majorBidi"/>
        </w:rPr>
        <w:t>lecture series</w:t>
      </w:r>
      <w:r w:rsidRPr="004F1839">
        <w:rPr>
          <w:rFonts w:asciiTheme="majorBidi" w:hAnsiTheme="majorBidi" w:cstheme="majorBidi"/>
        </w:rPr>
        <w:t xml:space="preserve"> invites students to think deeply about contemporary discourses of and about antisemitism in </w:t>
      </w:r>
      <w:r w:rsidR="00201407">
        <w:rPr>
          <w:rFonts w:asciiTheme="majorBidi" w:hAnsiTheme="majorBidi" w:cstheme="majorBidi"/>
          <w:lang w:val="en-GB"/>
        </w:rPr>
        <w:t xml:space="preserve">the </w:t>
      </w:r>
      <w:r w:rsidRPr="004F1839">
        <w:rPr>
          <w:rFonts w:asciiTheme="majorBidi" w:hAnsiTheme="majorBidi" w:cstheme="majorBidi"/>
        </w:rPr>
        <w:t xml:space="preserve">light of their historical precedents and </w:t>
      </w:r>
      <w:r w:rsidR="00A93B33">
        <w:rPr>
          <w:rFonts w:asciiTheme="majorBidi" w:hAnsiTheme="majorBidi" w:cstheme="majorBidi"/>
        </w:rPr>
        <w:t xml:space="preserve">recent </w:t>
      </w:r>
      <w:r w:rsidRPr="004F1839">
        <w:rPr>
          <w:rFonts w:asciiTheme="majorBidi" w:hAnsiTheme="majorBidi" w:cstheme="majorBidi"/>
        </w:rPr>
        <w:t xml:space="preserve">resonances. </w:t>
      </w:r>
    </w:p>
    <w:p w14:paraId="01677893" w14:textId="5B89F336" w:rsidR="00356806" w:rsidRDefault="00356806" w:rsidP="004F1839">
      <w:pPr>
        <w:jc w:val="both"/>
        <w:rPr>
          <w:rFonts w:asciiTheme="majorBidi" w:hAnsiTheme="majorBidi" w:cstheme="majorBidi"/>
        </w:rPr>
      </w:pPr>
      <w:r w:rsidRPr="004F1839">
        <w:rPr>
          <w:rFonts w:asciiTheme="majorBidi" w:hAnsiTheme="majorBidi" w:cstheme="majorBidi"/>
          <w:color w:val="000000"/>
          <w:shd w:val="clear" w:color="auto" w:fill="FFFFFF"/>
        </w:rPr>
        <w:t>Originally from London, Dr. Katherine Aron</w:t>
      </w:r>
      <w:r w:rsidRPr="004F1839">
        <w:rPr>
          <w:rStyle w:val="Emphasis"/>
          <w:rFonts w:asciiTheme="majorBidi" w:hAnsiTheme="majorBidi" w:cstheme="majorBidi"/>
          <w:color w:val="000000"/>
          <w:shd w:val="clear" w:color="auto" w:fill="FFFFFF"/>
        </w:rPr>
        <w:t>-</w:t>
      </w:r>
      <w:r w:rsidRPr="004F1839">
        <w:rPr>
          <w:rFonts w:asciiTheme="majorBidi" w:hAnsiTheme="majorBidi" w:cstheme="majorBidi"/>
          <w:color w:val="000000"/>
          <w:shd w:val="clear" w:color="auto" w:fill="FFFFFF"/>
        </w:rPr>
        <w:t>Beller</w:t>
      </w:r>
      <w:r w:rsidRPr="004F1839">
        <w:rPr>
          <w:rStyle w:val="Emphasis"/>
          <w:rFonts w:asciiTheme="majorBidi" w:hAnsiTheme="majorBidi" w:cstheme="majorBidi"/>
          <w:color w:val="000000"/>
          <w:shd w:val="clear" w:color="auto" w:fill="FFFFFF"/>
        </w:rPr>
        <w:t> </w:t>
      </w:r>
      <w:r w:rsidRPr="004F1839">
        <w:rPr>
          <w:rStyle w:val="Emphasis"/>
          <w:rFonts w:asciiTheme="majorBidi" w:hAnsiTheme="majorBidi" w:cstheme="majorBidi"/>
          <w:i w:val="0"/>
          <w:iCs w:val="0"/>
          <w:color w:val="000000"/>
          <w:shd w:val="clear" w:color="auto" w:fill="FFFFFF"/>
        </w:rPr>
        <w:t>is lecturer of </w:t>
      </w:r>
      <w:r w:rsidRPr="00CB3859">
        <w:rPr>
          <w:rFonts w:asciiTheme="majorBidi" w:hAnsiTheme="majorBidi" w:cstheme="majorBidi"/>
          <w:color w:val="000000"/>
          <w:shd w:val="clear" w:color="auto" w:fill="FFFFFF"/>
        </w:rPr>
        <w:t>Jewish</w:t>
      </w:r>
      <w:r w:rsidRPr="00CB3859">
        <w:rPr>
          <w:rStyle w:val="Emphasis"/>
          <w:rFonts w:asciiTheme="majorBidi" w:hAnsiTheme="majorBidi" w:cstheme="majorBidi"/>
          <w:color w:val="000000"/>
          <w:shd w:val="clear" w:color="auto" w:fill="FFFFFF"/>
        </w:rPr>
        <w:t> </w:t>
      </w:r>
      <w:r w:rsidRPr="004F1839">
        <w:rPr>
          <w:rStyle w:val="Emphasis"/>
          <w:rFonts w:asciiTheme="majorBidi" w:hAnsiTheme="majorBidi" w:cstheme="majorBidi"/>
          <w:i w:val="0"/>
          <w:iCs w:val="0"/>
          <w:color w:val="000000"/>
          <w:shd w:val="clear" w:color="auto" w:fill="FFFFFF"/>
        </w:rPr>
        <w:t>History in the Rothberg International School of the Hebrew University and at Tel Aviv University. Her areas of expertise include </w:t>
      </w:r>
      <w:r w:rsidR="004F1839" w:rsidRPr="004F1839">
        <w:rPr>
          <w:rStyle w:val="Emphasis"/>
          <w:rFonts w:asciiTheme="majorBidi" w:hAnsiTheme="majorBidi" w:cstheme="majorBidi"/>
          <w:i w:val="0"/>
          <w:iCs w:val="0"/>
          <w:color w:val="000000"/>
          <w:shd w:val="clear" w:color="auto" w:fill="FFFFFF"/>
        </w:rPr>
        <w:t xml:space="preserve">the history of antisemitism, contemporary antisemitism, </w:t>
      </w:r>
      <w:r w:rsidRPr="004F1839">
        <w:rPr>
          <w:rStyle w:val="Emphasis"/>
          <w:rFonts w:asciiTheme="majorBidi" w:hAnsiTheme="majorBidi" w:cstheme="majorBidi"/>
          <w:i w:val="0"/>
          <w:iCs w:val="0"/>
          <w:color w:val="000000"/>
          <w:shd w:val="clear" w:color="auto" w:fill="FFFFFF"/>
        </w:rPr>
        <w:t>medieval </w:t>
      </w:r>
      <w:r w:rsidRPr="004F1839">
        <w:rPr>
          <w:rFonts w:asciiTheme="majorBidi" w:hAnsiTheme="majorBidi" w:cstheme="majorBidi"/>
          <w:i/>
          <w:iCs/>
          <w:color w:val="000000"/>
          <w:shd w:val="clear" w:color="auto" w:fill="FFFFFF"/>
        </w:rPr>
        <w:t>Jewish</w:t>
      </w:r>
      <w:r w:rsidRPr="004F1839">
        <w:rPr>
          <w:rStyle w:val="Emphasis"/>
          <w:rFonts w:asciiTheme="majorBidi" w:hAnsiTheme="majorBidi" w:cstheme="majorBidi"/>
          <w:i w:val="0"/>
          <w:iCs w:val="0"/>
          <w:color w:val="000000"/>
          <w:shd w:val="clear" w:color="auto" w:fill="FFFFFF"/>
        </w:rPr>
        <w:t> history, early modern </w:t>
      </w:r>
      <w:r w:rsidRPr="004F1839">
        <w:rPr>
          <w:rFonts w:asciiTheme="majorBidi" w:hAnsiTheme="majorBidi" w:cstheme="majorBidi"/>
          <w:i/>
          <w:iCs/>
          <w:color w:val="000000"/>
          <w:shd w:val="clear" w:color="auto" w:fill="FFFFFF"/>
        </w:rPr>
        <w:t>Jewish</w:t>
      </w:r>
      <w:r w:rsidRPr="004F1839">
        <w:rPr>
          <w:rStyle w:val="Emphasis"/>
          <w:rFonts w:asciiTheme="majorBidi" w:hAnsiTheme="majorBidi" w:cstheme="majorBidi"/>
          <w:i w:val="0"/>
          <w:iCs w:val="0"/>
          <w:color w:val="000000"/>
          <w:shd w:val="clear" w:color="auto" w:fill="FFFFFF"/>
        </w:rPr>
        <w:t>-Christian relations</w:t>
      </w:r>
      <w:r w:rsidR="004F1839" w:rsidRPr="004F1839">
        <w:rPr>
          <w:rStyle w:val="Emphasis"/>
          <w:rFonts w:asciiTheme="majorBidi" w:hAnsiTheme="majorBidi" w:cstheme="majorBidi"/>
          <w:i w:val="0"/>
          <w:iCs w:val="0"/>
          <w:color w:val="000000"/>
          <w:shd w:val="clear" w:color="auto" w:fill="FFFFFF"/>
        </w:rPr>
        <w:t xml:space="preserve"> and</w:t>
      </w:r>
      <w:r w:rsidRPr="004F1839">
        <w:rPr>
          <w:rStyle w:val="Emphasis"/>
          <w:rFonts w:asciiTheme="majorBidi" w:hAnsiTheme="majorBidi" w:cstheme="majorBidi"/>
          <w:i w:val="0"/>
          <w:iCs w:val="0"/>
          <w:color w:val="000000"/>
          <w:shd w:val="clear" w:color="auto" w:fill="FFFFFF"/>
        </w:rPr>
        <w:t xml:space="preserve"> the early modern Papal Inquisition. She is the author of</w:t>
      </w:r>
      <w:r w:rsidRPr="004F1839">
        <w:rPr>
          <w:rStyle w:val="Emphasis"/>
          <w:rFonts w:asciiTheme="majorBidi" w:hAnsiTheme="majorBidi" w:cstheme="majorBidi"/>
          <w:color w:val="000000"/>
          <w:shd w:val="clear" w:color="auto" w:fill="FFFFFF"/>
        </w:rPr>
        <w:t> Jews on Trial: The Papal Inquisition in Modena 1598-1638 </w:t>
      </w:r>
      <w:r w:rsidRPr="004F1839">
        <w:rPr>
          <w:rStyle w:val="Emphasis"/>
          <w:rFonts w:asciiTheme="majorBidi" w:hAnsiTheme="majorBidi" w:cstheme="majorBidi"/>
          <w:i w:val="0"/>
          <w:iCs w:val="0"/>
          <w:color w:val="000000"/>
          <w:shd w:val="clear" w:color="auto" w:fill="FFFFFF"/>
        </w:rPr>
        <w:t>(Manchester: Manchester University Press, 2011), the co-editor of</w:t>
      </w:r>
      <w:r w:rsidRPr="004F1839">
        <w:rPr>
          <w:rStyle w:val="Emphasis"/>
          <w:rFonts w:asciiTheme="majorBidi" w:hAnsiTheme="majorBidi" w:cstheme="majorBidi"/>
          <w:color w:val="000000"/>
          <w:shd w:val="clear" w:color="auto" w:fill="FFFFFF"/>
        </w:rPr>
        <w:t> The Roman Inquisition: Centre versus Peripheries</w:t>
      </w:r>
      <w:r w:rsidRPr="004F1839">
        <w:rPr>
          <w:rFonts w:asciiTheme="majorBidi" w:hAnsiTheme="majorBidi" w:cstheme="majorBidi"/>
          <w:color w:val="000000"/>
          <w:shd w:val="clear" w:color="auto" w:fill="FFFFFF"/>
        </w:rPr>
        <w:t xml:space="preserve"> (Leiden: Brill, 2018) </w:t>
      </w:r>
      <w:r w:rsidR="004F1839" w:rsidRPr="004F1839">
        <w:rPr>
          <w:rFonts w:asciiTheme="majorBidi" w:hAnsiTheme="majorBidi" w:cstheme="majorBidi"/>
          <w:color w:val="000000"/>
          <w:shd w:val="clear" w:color="auto" w:fill="FFFFFF"/>
        </w:rPr>
        <w:t xml:space="preserve">and more recently </w:t>
      </w:r>
      <w:r w:rsidR="004F1839" w:rsidRPr="004F1839">
        <w:rPr>
          <w:rFonts w:asciiTheme="majorBidi" w:hAnsiTheme="majorBidi" w:cstheme="majorBidi"/>
          <w:i/>
          <w:iCs/>
          <w:color w:val="000000"/>
          <w:shd w:val="clear" w:color="auto" w:fill="FFFFFF"/>
        </w:rPr>
        <w:t>Christian Images and their Jewish Desecrators: The History of an Allegation</w:t>
      </w:r>
      <w:r w:rsidR="004F1839" w:rsidRPr="004F1839">
        <w:rPr>
          <w:rFonts w:asciiTheme="majorBidi" w:hAnsiTheme="majorBidi" w:cstheme="majorBidi"/>
          <w:color w:val="000000"/>
          <w:shd w:val="clear" w:color="auto" w:fill="FFFFFF"/>
        </w:rPr>
        <w:t xml:space="preserve"> (Philadelphia: University of Pennsylvania Press, 2024) </w:t>
      </w:r>
      <w:r w:rsidRPr="004F1839">
        <w:rPr>
          <w:rFonts w:asciiTheme="majorBidi" w:hAnsiTheme="majorBidi" w:cstheme="majorBidi"/>
          <w:color w:val="000000"/>
          <w:shd w:val="clear" w:color="auto" w:fill="FFFFFF"/>
        </w:rPr>
        <w:t>and many articles on the Catholic Inquisition, antisemitism and the Jews of Italy</w:t>
      </w:r>
      <w:r w:rsidR="004F1839" w:rsidRPr="004F1839">
        <w:rPr>
          <w:rFonts w:asciiTheme="majorBidi" w:hAnsiTheme="majorBidi" w:cstheme="majorBidi"/>
          <w:color w:val="000000"/>
          <w:shd w:val="clear" w:color="auto" w:fill="FFFFFF"/>
        </w:rPr>
        <w:t>.</w:t>
      </w:r>
    </w:p>
    <w:p w14:paraId="5644529B" w14:textId="1621E50B" w:rsidR="00E24324" w:rsidRDefault="00E24324" w:rsidP="004F1839">
      <w:pPr>
        <w:jc w:val="both"/>
        <w:rPr>
          <w:rFonts w:asciiTheme="majorBidi" w:hAnsiTheme="majorBidi" w:cstheme="majorBidi"/>
        </w:rPr>
      </w:pPr>
    </w:p>
    <w:p w14:paraId="2D5C9D94" w14:textId="551614A6" w:rsidR="00E24324" w:rsidRDefault="00E24324" w:rsidP="004F1839">
      <w:pPr>
        <w:jc w:val="both"/>
        <w:rPr>
          <w:rFonts w:asciiTheme="majorBidi" w:hAnsiTheme="majorBidi" w:cstheme="majorBidi"/>
        </w:rPr>
      </w:pPr>
    </w:p>
    <w:p w14:paraId="4B2314FF" w14:textId="1BE95BAC" w:rsidR="00E24324" w:rsidRDefault="00E24324" w:rsidP="004F1839">
      <w:pPr>
        <w:jc w:val="both"/>
        <w:rPr>
          <w:rFonts w:asciiTheme="majorBidi" w:hAnsiTheme="majorBidi" w:cstheme="majorBidi"/>
        </w:rPr>
      </w:pPr>
    </w:p>
    <w:p w14:paraId="626E9193" w14:textId="77777777" w:rsidR="00E24324" w:rsidRPr="004F1839" w:rsidRDefault="00E24324" w:rsidP="004F1839">
      <w:pPr>
        <w:jc w:val="both"/>
        <w:rPr>
          <w:rFonts w:asciiTheme="majorBidi" w:hAnsiTheme="majorBidi" w:cstheme="majorBidi"/>
        </w:rPr>
      </w:pPr>
    </w:p>
    <w:p w14:paraId="79896109" w14:textId="1BE36624" w:rsidR="00356806" w:rsidRPr="004F1839" w:rsidRDefault="00356806" w:rsidP="00356806">
      <w:pPr>
        <w:rPr>
          <w:rFonts w:asciiTheme="majorBidi" w:hAnsiTheme="majorBidi" w:cstheme="majorBidi"/>
        </w:rPr>
      </w:pPr>
      <w:r w:rsidRPr="004F1839">
        <w:rPr>
          <w:rFonts w:asciiTheme="majorBidi" w:hAnsiTheme="majorBidi" w:cstheme="majorBidi"/>
        </w:rPr>
        <w:t>Th</w:t>
      </w:r>
      <w:r w:rsidR="004F1839" w:rsidRPr="004F1839">
        <w:rPr>
          <w:rFonts w:asciiTheme="majorBidi" w:hAnsiTheme="majorBidi" w:cstheme="majorBidi"/>
        </w:rPr>
        <w:t>is</w:t>
      </w:r>
      <w:r w:rsidRPr="004F1839">
        <w:rPr>
          <w:rFonts w:asciiTheme="majorBidi" w:hAnsiTheme="majorBidi" w:cstheme="majorBidi"/>
        </w:rPr>
        <w:t xml:space="preserve"> </w:t>
      </w:r>
      <w:r w:rsidR="005E5C37">
        <w:rPr>
          <w:rFonts w:asciiTheme="majorBidi" w:hAnsiTheme="majorBidi" w:cstheme="majorBidi"/>
        </w:rPr>
        <w:t>lecture series</w:t>
      </w:r>
      <w:r w:rsidRPr="004F1839">
        <w:rPr>
          <w:rFonts w:asciiTheme="majorBidi" w:hAnsiTheme="majorBidi" w:cstheme="majorBidi"/>
        </w:rPr>
        <w:t xml:space="preserve"> will be taught in five zoom sessions:</w:t>
      </w:r>
    </w:p>
    <w:p w14:paraId="265C9AF8" w14:textId="77777777" w:rsidR="004F1839" w:rsidRPr="004F1839" w:rsidRDefault="004F1839" w:rsidP="00356806">
      <w:pPr>
        <w:rPr>
          <w:rFonts w:asciiTheme="majorBidi" w:hAnsiTheme="majorBidi" w:cstheme="majorBidi"/>
        </w:rPr>
      </w:pPr>
    </w:p>
    <w:p w14:paraId="49B1F57C" w14:textId="77777777" w:rsidR="004F1839" w:rsidRDefault="004F1839" w:rsidP="004F1839">
      <w:pPr>
        <w:pStyle w:val="ListParagraph"/>
        <w:numPr>
          <w:ilvl w:val="0"/>
          <w:numId w:val="1"/>
        </w:numPr>
        <w:rPr>
          <w:rFonts w:asciiTheme="majorBidi" w:hAnsiTheme="majorBidi" w:cstheme="majorBidi"/>
        </w:rPr>
      </w:pPr>
      <w:r w:rsidRPr="004F1839">
        <w:rPr>
          <w:rFonts w:asciiTheme="majorBidi" w:hAnsiTheme="majorBidi" w:cstheme="majorBidi"/>
        </w:rPr>
        <w:t>Antisemitism and the Problems of its Definition</w:t>
      </w:r>
    </w:p>
    <w:p w14:paraId="7667E70C" w14:textId="77777777" w:rsidR="00197C1F" w:rsidRDefault="00197C1F" w:rsidP="00197C1F">
      <w:pPr>
        <w:rPr>
          <w:rFonts w:asciiTheme="majorBidi" w:hAnsiTheme="majorBidi" w:cstheme="majorBidi"/>
        </w:rPr>
      </w:pPr>
    </w:p>
    <w:p w14:paraId="524DB364" w14:textId="77777777" w:rsidR="00197C1F" w:rsidRPr="00DE27A6" w:rsidRDefault="00197C1F" w:rsidP="00197C1F">
      <w:pPr>
        <w:autoSpaceDE w:val="0"/>
        <w:autoSpaceDN w:val="0"/>
        <w:adjustRightInd w:val="0"/>
        <w:spacing w:after="0" w:line="240" w:lineRule="auto"/>
        <w:rPr>
          <w:rFonts w:asciiTheme="majorBidi" w:hAnsiTheme="majorBidi" w:cstheme="majorBidi"/>
        </w:rPr>
      </w:pPr>
      <w:r w:rsidRPr="00DE27A6">
        <w:rPr>
          <w:rFonts w:asciiTheme="majorBidi" w:hAnsiTheme="majorBidi" w:cstheme="majorBidi"/>
        </w:rPr>
        <w:t xml:space="preserve">Denis MacShane, </w:t>
      </w:r>
      <w:r w:rsidRPr="00DE27A6">
        <w:rPr>
          <w:rFonts w:asciiTheme="majorBidi" w:hAnsiTheme="majorBidi" w:cstheme="majorBidi"/>
          <w:i/>
          <w:iCs/>
        </w:rPr>
        <w:t xml:space="preserve">Globalising Hatred: The New Antisemitism </w:t>
      </w:r>
      <w:r w:rsidRPr="00DE27A6">
        <w:rPr>
          <w:rFonts w:asciiTheme="majorBidi" w:hAnsiTheme="majorBidi" w:cstheme="majorBidi"/>
        </w:rPr>
        <w:t>(London: Weidenfeld</w:t>
      </w:r>
    </w:p>
    <w:p w14:paraId="09E7EA5C" w14:textId="77777777" w:rsidR="00197C1F" w:rsidRPr="00DE27A6" w:rsidRDefault="00197C1F" w:rsidP="00197C1F">
      <w:pPr>
        <w:autoSpaceDE w:val="0"/>
        <w:autoSpaceDN w:val="0"/>
        <w:adjustRightInd w:val="0"/>
        <w:spacing w:after="0" w:line="240" w:lineRule="auto"/>
        <w:rPr>
          <w:rFonts w:asciiTheme="majorBidi" w:hAnsiTheme="majorBidi" w:cstheme="majorBidi"/>
        </w:rPr>
      </w:pPr>
      <w:r w:rsidRPr="00DE27A6">
        <w:rPr>
          <w:rFonts w:asciiTheme="majorBidi" w:hAnsiTheme="majorBidi" w:cstheme="majorBidi"/>
        </w:rPr>
        <w:t>&amp; Nicolson, 2008) 1-19.</w:t>
      </w:r>
    </w:p>
    <w:p w14:paraId="21167589" w14:textId="77777777" w:rsidR="00197C1F" w:rsidRPr="00DE27A6" w:rsidRDefault="00197C1F" w:rsidP="00197C1F">
      <w:pPr>
        <w:shd w:val="clear" w:color="auto" w:fill="FFFFFF"/>
        <w:spacing w:before="100" w:beforeAutospacing="1" w:after="100" w:afterAutospacing="1" w:line="240" w:lineRule="auto"/>
        <w:rPr>
          <w:rFonts w:asciiTheme="majorBidi" w:hAnsiTheme="majorBidi" w:cstheme="majorBidi"/>
        </w:rPr>
      </w:pPr>
      <w:r w:rsidRPr="00DE27A6">
        <w:rPr>
          <w:rFonts w:asciiTheme="majorBidi" w:hAnsiTheme="majorBidi" w:cstheme="majorBidi"/>
        </w:rPr>
        <w:t xml:space="preserve">Kenneth L. Marcus, “The Definition of Antisemitism” in Charles A. Small (ed.) </w:t>
      </w:r>
      <w:r w:rsidRPr="00DE27A6">
        <w:rPr>
          <w:rFonts w:asciiTheme="majorBidi" w:hAnsiTheme="majorBidi" w:cstheme="majorBidi"/>
          <w:i/>
          <w:iCs/>
        </w:rPr>
        <w:t xml:space="preserve">Global Antisemitism: A Crisis of Modernity </w:t>
      </w:r>
      <w:r w:rsidRPr="00DE27A6">
        <w:rPr>
          <w:rFonts w:asciiTheme="majorBidi" w:hAnsiTheme="majorBidi" w:cstheme="majorBidi"/>
          <w:iCs/>
        </w:rPr>
        <w:t xml:space="preserve">Volume I: Conceptual Approaches </w:t>
      </w:r>
      <w:r w:rsidRPr="00DE27A6">
        <w:rPr>
          <w:rFonts w:asciiTheme="majorBidi" w:hAnsiTheme="majorBidi" w:cstheme="majorBidi"/>
        </w:rPr>
        <w:t xml:space="preserve"> (Leiden: Brill, 2013), 99-113. </w:t>
      </w:r>
    </w:p>
    <w:p w14:paraId="4ADC6E58" w14:textId="77777777" w:rsidR="00197C1F" w:rsidRPr="00DE27A6" w:rsidRDefault="00197C1F" w:rsidP="00197C1F">
      <w:pPr>
        <w:autoSpaceDE w:val="0"/>
        <w:autoSpaceDN w:val="0"/>
        <w:adjustRightInd w:val="0"/>
        <w:spacing w:after="0" w:line="240" w:lineRule="auto"/>
        <w:rPr>
          <w:rFonts w:asciiTheme="majorBidi" w:hAnsiTheme="majorBidi" w:cstheme="majorBidi"/>
          <w:i/>
          <w:iCs/>
        </w:rPr>
      </w:pPr>
      <w:r w:rsidRPr="00DE27A6">
        <w:rPr>
          <w:rFonts w:asciiTheme="majorBidi" w:hAnsiTheme="majorBidi" w:cstheme="majorBidi"/>
        </w:rPr>
        <w:t xml:space="preserve">David Patterson, </w:t>
      </w:r>
      <w:r w:rsidRPr="00DE27A6">
        <w:rPr>
          <w:rFonts w:asciiTheme="majorBidi" w:hAnsiTheme="majorBidi" w:cstheme="majorBidi"/>
          <w:i/>
          <w:iCs/>
        </w:rPr>
        <w:t xml:space="preserve">Antisemitism and Its Metaphysical Origins, </w:t>
      </w:r>
      <w:r w:rsidRPr="00DE27A6">
        <w:rPr>
          <w:rFonts w:asciiTheme="majorBidi" w:hAnsiTheme="majorBidi" w:cstheme="majorBidi"/>
        </w:rPr>
        <w:t>(Cambridge: Cambridge University Press, 2015), 1-54. 135- 164.</w:t>
      </w:r>
    </w:p>
    <w:p w14:paraId="6E7D26FD" w14:textId="77777777" w:rsidR="00197C1F" w:rsidRPr="00197C1F" w:rsidRDefault="00197C1F" w:rsidP="00197C1F">
      <w:pPr>
        <w:rPr>
          <w:rFonts w:asciiTheme="majorBidi" w:hAnsiTheme="majorBidi" w:cstheme="majorBidi"/>
        </w:rPr>
      </w:pPr>
    </w:p>
    <w:p w14:paraId="4B236446" w14:textId="77777777" w:rsidR="004F1839" w:rsidRDefault="004F1839" w:rsidP="004F1839">
      <w:pPr>
        <w:pStyle w:val="ListParagraph"/>
        <w:numPr>
          <w:ilvl w:val="0"/>
          <w:numId w:val="1"/>
        </w:numPr>
        <w:rPr>
          <w:rFonts w:asciiTheme="majorBidi" w:hAnsiTheme="majorBidi" w:cstheme="majorBidi"/>
        </w:rPr>
      </w:pPr>
      <w:r w:rsidRPr="004F1839">
        <w:rPr>
          <w:rFonts w:asciiTheme="majorBidi" w:hAnsiTheme="majorBidi" w:cstheme="majorBidi"/>
        </w:rPr>
        <w:t>Anti-Zionism and the Delegitimization of the State of Israel.</w:t>
      </w:r>
    </w:p>
    <w:p w14:paraId="34C7A494" w14:textId="77777777" w:rsidR="00197C1F" w:rsidRDefault="00197C1F" w:rsidP="00197C1F">
      <w:pPr>
        <w:shd w:val="clear" w:color="auto" w:fill="FFFFFF"/>
        <w:spacing w:before="100" w:beforeAutospacing="1" w:after="100" w:afterAutospacing="1" w:line="240" w:lineRule="auto"/>
        <w:rPr>
          <w:rFonts w:asciiTheme="majorBidi" w:hAnsiTheme="majorBidi" w:cstheme="majorBidi"/>
        </w:rPr>
      </w:pPr>
    </w:p>
    <w:p w14:paraId="167AFF9C" w14:textId="06EBEFF1" w:rsidR="00197C1F" w:rsidRDefault="00197C1F" w:rsidP="00197C1F">
      <w:pPr>
        <w:shd w:val="clear" w:color="auto" w:fill="FFFFFF"/>
        <w:spacing w:before="100" w:beforeAutospacing="1" w:after="100" w:afterAutospacing="1" w:line="240" w:lineRule="auto"/>
        <w:rPr>
          <w:rFonts w:asciiTheme="majorBidi" w:hAnsiTheme="majorBidi" w:cstheme="majorBidi"/>
        </w:rPr>
      </w:pPr>
      <w:r>
        <w:rPr>
          <w:rFonts w:asciiTheme="majorBidi" w:hAnsiTheme="majorBidi" w:cstheme="majorBidi"/>
        </w:rPr>
        <w:t xml:space="preserve">James Loeffler, “Anti-Zionism” in Sol Goldberg, Scott Ury, Kalman Wieser (eds) </w:t>
      </w:r>
      <w:r>
        <w:rPr>
          <w:rFonts w:asciiTheme="majorBidi" w:hAnsiTheme="majorBidi" w:cstheme="majorBidi"/>
          <w:i/>
        </w:rPr>
        <w:t xml:space="preserve">Key Concepts in the Study of </w:t>
      </w:r>
      <w:r w:rsidR="00967454">
        <w:rPr>
          <w:rFonts w:asciiTheme="majorBidi" w:hAnsiTheme="majorBidi" w:cstheme="majorBidi"/>
          <w:i/>
        </w:rPr>
        <w:t xml:space="preserve">Antisemitism </w:t>
      </w:r>
      <w:r w:rsidR="00967454">
        <w:rPr>
          <w:rFonts w:asciiTheme="majorBidi" w:hAnsiTheme="majorBidi" w:cstheme="majorBidi"/>
          <w:iCs/>
        </w:rPr>
        <w:t xml:space="preserve">(London: Palgrave Macmillan, 2021) </w:t>
      </w:r>
      <w:r>
        <w:rPr>
          <w:rFonts w:asciiTheme="majorBidi" w:hAnsiTheme="majorBidi" w:cstheme="majorBidi"/>
        </w:rPr>
        <w:t>38-51</w:t>
      </w:r>
      <w:r w:rsidR="00967454">
        <w:rPr>
          <w:rFonts w:asciiTheme="majorBidi" w:hAnsiTheme="majorBidi" w:cstheme="majorBidi"/>
        </w:rPr>
        <w:t>.</w:t>
      </w:r>
    </w:p>
    <w:p w14:paraId="56813CAD" w14:textId="0AB32ABB" w:rsidR="00197C1F" w:rsidRPr="00197C1F" w:rsidRDefault="00197C1F" w:rsidP="00197C1F">
      <w:pPr>
        <w:shd w:val="clear" w:color="auto" w:fill="FFFFFF"/>
        <w:spacing w:before="100" w:beforeAutospacing="1" w:after="100" w:afterAutospacing="1" w:line="240" w:lineRule="auto"/>
        <w:rPr>
          <w:rFonts w:asciiTheme="majorBidi" w:hAnsiTheme="majorBidi" w:cstheme="majorBidi"/>
        </w:rPr>
      </w:pPr>
      <w:r w:rsidRPr="00197C1F">
        <w:rPr>
          <w:rFonts w:asciiTheme="majorBidi" w:hAnsiTheme="majorBidi" w:cstheme="majorBidi"/>
        </w:rPr>
        <w:t xml:space="preserve">David Patterson, “Anti-zionist Antisemitism,” </w:t>
      </w:r>
      <w:r w:rsidRPr="00197C1F">
        <w:rPr>
          <w:rFonts w:asciiTheme="majorBidi" w:hAnsiTheme="majorBidi" w:cstheme="majorBidi"/>
          <w:i/>
          <w:iCs/>
        </w:rPr>
        <w:t xml:space="preserve">Antisemitism and Its Metaphysical Origins, </w:t>
      </w:r>
      <w:r w:rsidRPr="00197C1F">
        <w:rPr>
          <w:rFonts w:asciiTheme="majorBidi" w:hAnsiTheme="majorBidi" w:cstheme="majorBidi"/>
        </w:rPr>
        <w:t>(Cambridge: Cambridge University Press, 2015), 195-221.</w:t>
      </w:r>
    </w:p>
    <w:p w14:paraId="2B993F12" w14:textId="77777777" w:rsidR="00967454" w:rsidRPr="00DE27A6" w:rsidRDefault="00967454" w:rsidP="00967454">
      <w:pPr>
        <w:autoSpaceDE w:val="0"/>
        <w:autoSpaceDN w:val="0"/>
        <w:adjustRightInd w:val="0"/>
        <w:spacing w:after="0" w:line="240" w:lineRule="auto"/>
        <w:rPr>
          <w:rFonts w:asciiTheme="majorBidi" w:hAnsiTheme="majorBidi" w:cstheme="majorBidi"/>
          <w:i/>
          <w:iCs/>
        </w:rPr>
      </w:pPr>
      <w:r w:rsidRPr="00DE27A6">
        <w:rPr>
          <w:rFonts w:asciiTheme="majorBidi" w:hAnsiTheme="majorBidi" w:cstheme="majorBidi"/>
        </w:rPr>
        <w:t xml:space="preserve">Matti Bunzl, </w:t>
      </w:r>
      <w:r w:rsidRPr="00DE27A6">
        <w:rPr>
          <w:rFonts w:asciiTheme="majorBidi" w:hAnsiTheme="majorBidi" w:cstheme="majorBidi"/>
          <w:i/>
          <w:iCs/>
        </w:rPr>
        <w:t>Antisemitism and Islamophobia : Hatreds Old and New in Europe</w:t>
      </w:r>
    </w:p>
    <w:p w14:paraId="3115620B" w14:textId="77777777" w:rsidR="00967454" w:rsidRPr="00DE27A6" w:rsidRDefault="00967454" w:rsidP="00967454">
      <w:pPr>
        <w:autoSpaceDE w:val="0"/>
        <w:autoSpaceDN w:val="0"/>
        <w:adjustRightInd w:val="0"/>
        <w:spacing w:after="0" w:line="240" w:lineRule="auto"/>
        <w:rPr>
          <w:rFonts w:asciiTheme="majorBidi" w:hAnsiTheme="majorBidi" w:cstheme="majorBidi"/>
        </w:rPr>
      </w:pPr>
      <w:r w:rsidRPr="00DE27A6">
        <w:rPr>
          <w:rFonts w:asciiTheme="majorBidi" w:hAnsiTheme="majorBidi" w:cstheme="majorBidi"/>
        </w:rPr>
        <w:t>(Chicago: Prickly Paradigm Press, 2007).</w:t>
      </w:r>
    </w:p>
    <w:p w14:paraId="231AE78A" w14:textId="77777777" w:rsidR="00197C1F" w:rsidRPr="00197C1F" w:rsidRDefault="00197C1F" w:rsidP="00197C1F">
      <w:pPr>
        <w:rPr>
          <w:rFonts w:asciiTheme="majorBidi" w:hAnsiTheme="majorBidi" w:cstheme="majorBidi"/>
        </w:rPr>
      </w:pPr>
    </w:p>
    <w:p w14:paraId="27CA9D2F" w14:textId="77777777" w:rsidR="004F1839" w:rsidRDefault="004F1839" w:rsidP="004F1839">
      <w:pPr>
        <w:pStyle w:val="ListParagraph"/>
        <w:numPr>
          <w:ilvl w:val="0"/>
          <w:numId w:val="1"/>
        </w:numPr>
        <w:rPr>
          <w:rFonts w:asciiTheme="majorBidi" w:hAnsiTheme="majorBidi" w:cstheme="majorBidi"/>
        </w:rPr>
      </w:pPr>
      <w:r w:rsidRPr="004F1839">
        <w:rPr>
          <w:rFonts w:asciiTheme="majorBidi" w:hAnsiTheme="majorBidi" w:cstheme="majorBidi"/>
        </w:rPr>
        <w:t>The Islamization of Antisemitism</w:t>
      </w:r>
    </w:p>
    <w:p w14:paraId="05B2D868" w14:textId="01532D5E" w:rsidR="00967454" w:rsidRPr="00967454" w:rsidRDefault="00967454" w:rsidP="00967454">
      <w:pPr>
        <w:shd w:val="clear" w:color="auto" w:fill="FFFFFF"/>
        <w:spacing w:before="100" w:beforeAutospacing="1" w:after="100" w:afterAutospacing="1" w:line="240" w:lineRule="auto"/>
        <w:rPr>
          <w:rFonts w:asciiTheme="majorBidi" w:hAnsiTheme="majorBidi" w:cstheme="majorBidi"/>
          <w:u w:val="single"/>
        </w:rPr>
      </w:pPr>
      <w:r w:rsidRPr="00967454">
        <w:rPr>
          <w:rFonts w:asciiTheme="majorBidi" w:hAnsiTheme="majorBidi" w:cstheme="majorBidi"/>
        </w:rPr>
        <w:t>Primary Source:</w:t>
      </w:r>
      <w:r>
        <w:rPr>
          <w:rFonts w:asciiTheme="majorBidi" w:hAnsiTheme="majorBidi" w:cstheme="majorBidi"/>
        </w:rPr>
        <w:t xml:space="preserve"> H</w:t>
      </w:r>
      <w:r w:rsidRPr="00967454">
        <w:rPr>
          <w:rFonts w:asciiTheme="majorBidi" w:hAnsiTheme="majorBidi" w:cstheme="majorBidi"/>
        </w:rPr>
        <w:t xml:space="preserve">amas charter 1988 at </w:t>
      </w:r>
      <w:r w:rsidRPr="00967454">
        <w:rPr>
          <w:rFonts w:asciiTheme="majorBidi" w:hAnsiTheme="majorBidi" w:cstheme="majorBidi"/>
          <w:u w:val="single"/>
        </w:rPr>
        <w:t>http://avalon.law.yale.edu/20th_century/hamas.asp</w:t>
      </w:r>
    </w:p>
    <w:p w14:paraId="5216D2A6" w14:textId="77777777" w:rsidR="00967454" w:rsidRPr="00967454" w:rsidRDefault="00967454" w:rsidP="00967454">
      <w:pPr>
        <w:shd w:val="clear" w:color="auto" w:fill="FFFFFF"/>
        <w:spacing w:before="100" w:beforeAutospacing="1" w:after="100" w:afterAutospacing="1" w:line="240" w:lineRule="auto"/>
        <w:rPr>
          <w:rFonts w:asciiTheme="majorBidi" w:hAnsiTheme="majorBidi" w:cstheme="majorBidi"/>
        </w:rPr>
      </w:pPr>
      <w:r w:rsidRPr="00967454">
        <w:rPr>
          <w:rFonts w:asciiTheme="majorBidi" w:hAnsiTheme="majorBidi" w:cstheme="majorBidi"/>
        </w:rPr>
        <w:t xml:space="preserve">Bassam Tibi “From Sayyid Qutb to Hamas: The Middle East Conflict and the Islamization of Antisemitsm, in in Charles A. Small (ed.) </w:t>
      </w:r>
      <w:r w:rsidRPr="00967454">
        <w:rPr>
          <w:rFonts w:asciiTheme="majorBidi" w:hAnsiTheme="majorBidi" w:cstheme="majorBidi"/>
          <w:i/>
          <w:iCs/>
        </w:rPr>
        <w:t>Global Antisemitism: A Crisis of Modernity</w:t>
      </w:r>
      <w:r w:rsidRPr="00967454">
        <w:rPr>
          <w:rFonts w:asciiTheme="majorBidi" w:hAnsiTheme="majorBidi" w:cstheme="majorBidi"/>
        </w:rPr>
        <w:t xml:space="preserve"> (Leiden: Brill, 2013)  Vol. IV Islamism and the Arab World (Leiden; Brill, 2013) 21-46.</w:t>
      </w:r>
    </w:p>
    <w:p w14:paraId="509C03B2" w14:textId="6ECDF896" w:rsidR="00967454" w:rsidRPr="00967454" w:rsidRDefault="00967454" w:rsidP="00967454">
      <w:pPr>
        <w:shd w:val="clear" w:color="auto" w:fill="FFFFFF"/>
        <w:spacing w:before="100" w:beforeAutospacing="1" w:after="100" w:afterAutospacing="1" w:line="240" w:lineRule="auto"/>
        <w:rPr>
          <w:rFonts w:asciiTheme="majorBidi" w:hAnsiTheme="majorBidi" w:cstheme="majorBidi"/>
        </w:rPr>
      </w:pPr>
      <w:r w:rsidRPr="00967454">
        <w:rPr>
          <w:rFonts w:asciiTheme="majorBidi" w:hAnsiTheme="majorBidi" w:cstheme="majorBidi"/>
        </w:rPr>
        <w:t xml:space="preserve">Menahem Milson “Arab and Islamic Antisemitism,” in Charles A. Small (ed.) </w:t>
      </w:r>
      <w:r w:rsidRPr="00967454">
        <w:rPr>
          <w:rFonts w:asciiTheme="majorBidi" w:hAnsiTheme="majorBidi" w:cstheme="majorBidi"/>
          <w:i/>
          <w:iCs/>
        </w:rPr>
        <w:t>Global Antisemitism: A Crisis of Modernity</w:t>
      </w:r>
      <w:r w:rsidRPr="00967454">
        <w:rPr>
          <w:rFonts w:asciiTheme="majorBidi" w:hAnsiTheme="majorBidi" w:cstheme="majorBidi"/>
        </w:rPr>
        <w:t xml:space="preserve"> (Leiden: Brill, 2013) </w:t>
      </w:r>
    </w:p>
    <w:p w14:paraId="69A0E090" w14:textId="77777777" w:rsidR="00967454" w:rsidRPr="00967454" w:rsidRDefault="00967454" w:rsidP="00967454">
      <w:pPr>
        <w:rPr>
          <w:rFonts w:asciiTheme="majorBidi" w:hAnsiTheme="majorBidi" w:cstheme="majorBidi"/>
        </w:rPr>
      </w:pPr>
    </w:p>
    <w:p w14:paraId="22FCE00E" w14:textId="77777777" w:rsidR="004F1839" w:rsidRDefault="004F1839" w:rsidP="004F1839">
      <w:pPr>
        <w:pStyle w:val="ListParagraph"/>
        <w:numPr>
          <w:ilvl w:val="0"/>
          <w:numId w:val="1"/>
        </w:numPr>
        <w:rPr>
          <w:rFonts w:asciiTheme="majorBidi" w:hAnsiTheme="majorBidi" w:cstheme="majorBidi"/>
        </w:rPr>
      </w:pPr>
      <w:r w:rsidRPr="004F1839">
        <w:rPr>
          <w:rFonts w:asciiTheme="majorBidi" w:hAnsiTheme="majorBidi" w:cstheme="majorBidi"/>
        </w:rPr>
        <w:t>Holocaust Denial</w:t>
      </w:r>
    </w:p>
    <w:p w14:paraId="65D3AE74" w14:textId="77777777" w:rsidR="00967454" w:rsidRPr="00967454" w:rsidRDefault="00967454" w:rsidP="00967454">
      <w:pPr>
        <w:shd w:val="clear" w:color="auto" w:fill="FFFFFF"/>
        <w:spacing w:before="100" w:beforeAutospacing="1" w:after="100" w:afterAutospacing="1" w:line="240" w:lineRule="auto"/>
        <w:rPr>
          <w:rFonts w:asciiTheme="majorBidi" w:hAnsiTheme="majorBidi" w:cstheme="majorBidi"/>
          <w:iCs/>
        </w:rPr>
      </w:pPr>
      <w:r w:rsidRPr="00967454">
        <w:rPr>
          <w:rFonts w:asciiTheme="majorBidi" w:hAnsiTheme="majorBidi" w:cstheme="majorBidi"/>
          <w:iCs/>
        </w:rPr>
        <w:t xml:space="preserve">Deborah Lipstadt, </w:t>
      </w:r>
      <w:r w:rsidRPr="00967454">
        <w:rPr>
          <w:rFonts w:asciiTheme="majorBidi" w:hAnsiTheme="majorBidi" w:cstheme="majorBidi"/>
          <w:i/>
        </w:rPr>
        <w:t xml:space="preserve">Denying the Holocaust: The Growing Assault on Truth and Memory </w:t>
      </w:r>
      <w:r w:rsidRPr="00967454">
        <w:rPr>
          <w:rFonts w:asciiTheme="majorBidi" w:hAnsiTheme="majorBidi" w:cstheme="majorBidi"/>
          <w:iCs/>
        </w:rPr>
        <w:t>(reprint:  London Penguin, 2016)</w:t>
      </w:r>
    </w:p>
    <w:p w14:paraId="04D88EFB" w14:textId="77777777" w:rsidR="00967454" w:rsidRPr="00967454" w:rsidRDefault="00967454" w:rsidP="00967454">
      <w:pPr>
        <w:shd w:val="clear" w:color="auto" w:fill="FFFFFF"/>
        <w:spacing w:before="100" w:beforeAutospacing="1" w:after="100" w:afterAutospacing="1" w:line="240" w:lineRule="auto"/>
        <w:rPr>
          <w:rFonts w:asciiTheme="majorBidi" w:hAnsiTheme="majorBidi" w:cstheme="majorBidi"/>
        </w:rPr>
      </w:pPr>
      <w:r w:rsidRPr="00967454">
        <w:rPr>
          <w:rFonts w:asciiTheme="majorBidi" w:hAnsiTheme="majorBidi" w:cstheme="majorBidi"/>
        </w:rPr>
        <w:lastRenderedPageBreak/>
        <w:t xml:space="preserve">David Patterson, </w:t>
      </w:r>
      <w:r w:rsidRPr="00967454">
        <w:rPr>
          <w:rFonts w:asciiTheme="majorBidi" w:hAnsiTheme="majorBidi" w:cstheme="majorBidi"/>
          <w:i/>
          <w:iCs/>
        </w:rPr>
        <w:t xml:space="preserve">Antisemitism and Its Metaphysical Origins, </w:t>
      </w:r>
      <w:r w:rsidRPr="00967454">
        <w:rPr>
          <w:rFonts w:asciiTheme="majorBidi" w:hAnsiTheme="majorBidi" w:cstheme="majorBidi"/>
        </w:rPr>
        <w:t>(Cambridge: Cambridge University Press, 2015) , 165-193.</w:t>
      </w:r>
    </w:p>
    <w:p w14:paraId="02F1E9CF" w14:textId="77777777" w:rsidR="00967454" w:rsidRPr="00967454" w:rsidRDefault="00967454" w:rsidP="00967454">
      <w:pPr>
        <w:jc w:val="both"/>
        <w:rPr>
          <w:rFonts w:asciiTheme="majorBidi" w:hAnsiTheme="majorBidi" w:cstheme="majorBidi"/>
        </w:rPr>
      </w:pPr>
      <w:r w:rsidRPr="00967454">
        <w:rPr>
          <w:rFonts w:asciiTheme="majorBidi" w:hAnsiTheme="majorBidi" w:cstheme="majorBidi"/>
        </w:rPr>
        <w:t xml:space="preserve">Raphael Cohen-Almagor, “Hate in the Classroom: Free Expression, Holocaust Denial, and Liberal Education,” </w:t>
      </w:r>
      <w:r w:rsidRPr="00967454">
        <w:rPr>
          <w:rFonts w:asciiTheme="majorBidi" w:hAnsiTheme="majorBidi" w:cstheme="majorBidi"/>
          <w:i/>
        </w:rPr>
        <w:t xml:space="preserve">American Journal of Education </w:t>
      </w:r>
      <w:r w:rsidRPr="00967454">
        <w:rPr>
          <w:rFonts w:asciiTheme="majorBidi" w:hAnsiTheme="majorBidi" w:cstheme="majorBidi"/>
        </w:rPr>
        <w:t xml:space="preserve">114, no. 2 (2008): 215-241. </w:t>
      </w:r>
    </w:p>
    <w:p w14:paraId="6E83CA06" w14:textId="77777777" w:rsidR="00967454" w:rsidRPr="00967454" w:rsidRDefault="00967454" w:rsidP="00967454">
      <w:pPr>
        <w:rPr>
          <w:rFonts w:asciiTheme="majorBidi" w:hAnsiTheme="majorBidi" w:cstheme="majorBidi"/>
        </w:rPr>
      </w:pPr>
    </w:p>
    <w:p w14:paraId="5A2C339B" w14:textId="77777777" w:rsidR="004F1839" w:rsidRPr="004F1839" w:rsidRDefault="004F1839" w:rsidP="004F1839">
      <w:pPr>
        <w:pStyle w:val="ListParagraph"/>
        <w:numPr>
          <w:ilvl w:val="0"/>
          <w:numId w:val="1"/>
        </w:numPr>
        <w:rPr>
          <w:rFonts w:asciiTheme="majorBidi" w:hAnsiTheme="majorBidi" w:cstheme="majorBidi"/>
        </w:rPr>
      </w:pPr>
      <w:r w:rsidRPr="004F1839">
        <w:rPr>
          <w:rFonts w:asciiTheme="majorBidi" w:hAnsiTheme="majorBidi" w:cstheme="majorBidi"/>
        </w:rPr>
        <w:t>The Self</w:t>
      </w:r>
      <w:r>
        <w:rPr>
          <w:rFonts w:asciiTheme="majorBidi" w:hAnsiTheme="majorBidi" w:cstheme="majorBidi"/>
        </w:rPr>
        <w:t>-</w:t>
      </w:r>
      <w:r w:rsidRPr="004F1839">
        <w:rPr>
          <w:rFonts w:asciiTheme="majorBidi" w:hAnsiTheme="majorBidi" w:cstheme="majorBidi"/>
        </w:rPr>
        <w:t>Hating Jew</w:t>
      </w:r>
    </w:p>
    <w:p w14:paraId="71837A29" w14:textId="77777777" w:rsidR="00967454" w:rsidRDefault="00967454" w:rsidP="00967454">
      <w:pPr>
        <w:autoSpaceDE w:val="0"/>
        <w:autoSpaceDN w:val="0"/>
        <w:adjustRightInd w:val="0"/>
        <w:spacing w:after="0" w:line="240" w:lineRule="auto"/>
        <w:rPr>
          <w:rFonts w:asciiTheme="majorBidi" w:hAnsiTheme="majorBidi" w:cstheme="majorBidi"/>
        </w:rPr>
      </w:pPr>
    </w:p>
    <w:p w14:paraId="11454283" w14:textId="6AB30995" w:rsidR="00967454" w:rsidRPr="00967454" w:rsidRDefault="00967454" w:rsidP="00967454">
      <w:pPr>
        <w:autoSpaceDE w:val="0"/>
        <w:autoSpaceDN w:val="0"/>
        <w:adjustRightInd w:val="0"/>
        <w:spacing w:after="0" w:line="240" w:lineRule="auto"/>
        <w:rPr>
          <w:rFonts w:asciiTheme="majorBidi" w:hAnsiTheme="majorBidi" w:cstheme="majorBidi"/>
          <w:i/>
          <w:iCs/>
        </w:rPr>
      </w:pPr>
      <w:r w:rsidRPr="00967454">
        <w:rPr>
          <w:rFonts w:asciiTheme="majorBidi" w:hAnsiTheme="majorBidi" w:cstheme="majorBidi"/>
        </w:rPr>
        <w:t xml:space="preserve">Sander L. Gilman, </w:t>
      </w:r>
      <w:r w:rsidRPr="00967454">
        <w:rPr>
          <w:rFonts w:asciiTheme="majorBidi" w:hAnsiTheme="majorBidi" w:cstheme="majorBidi"/>
          <w:i/>
          <w:iCs/>
        </w:rPr>
        <w:t>Jewish Self-Hatred : Antisemitism and the Hidden Language of</w:t>
      </w:r>
    </w:p>
    <w:p w14:paraId="29154A59" w14:textId="77777777" w:rsidR="00967454" w:rsidRPr="00967454" w:rsidRDefault="00967454" w:rsidP="00967454">
      <w:pPr>
        <w:autoSpaceDE w:val="0"/>
        <w:autoSpaceDN w:val="0"/>
        <w:adjustRightInd w:val="0"/>
        <w:spacing w:after="0" w:line="240" w:lineRule="auto"/>
        <w:rPr>
          <w:rFonts w:asciiTheme="majorBidi" w:hAnsiTheme="majorBidi" w:cstheme="majorBidi"/>
        </w:rPr>
      </w:pPr>
      <w:r w:rsidRPr="00967454">
        <w:rPr>
          <w:rFonts w:asciiTheme="majorBidi" w:hAnsiTheme="majorBidi" w:cstheme="majorBidi"/>
          <w:i/>
          <w:iCs/>
        </w:rPr>
        <w:t xml:space="preserve">the Jews </w:t>
      </w:r>
      <w:r w:rsidRPr="00967454">
        <w:rPr>
          <w:rFonts w:asciiTheme="majorBidi" w:hAnsiTheme="majorBidi" w:cstheme="majorBidi"/>
        </w:rPr>
        <w:t>(Baltimore: Johns Hopkins University Press, 1986):</w:t>
      </w:r>
    </w:p>
    <w:p w14:paraId="6CC495D3" w14:textId="77777777" w:rsidR="00356806" w:rsidRPr="004F1839" w:rsidRDefault="00356806" w:rsidP="00356806">
      <w:pPr>
        <w:rPr>
          <w:rFonts w:asciiTheme="majorBidi" w:hAnsiTheme="majorBidi" w:cstheme="majorBidi"/>
        </w:rPr>
      </w:pPr>
    </w:p>
    <w:p w14:paraId="4CB4BBA9" w14:textId="34382636" w:rsidR="00356806" w:rsidRPr="004F1839" w:rsidRDefault="00967454" w:rsidP="00356806">
      <w:pPr>
        <w:rPr>
          <w:rFonts w:asciiTheme="majorBidi" w:hAnsiTheme="majorBidi" w:cstheme="majorBidi"/>
        </w:rPr>
      </w:pPr>
      <w:r>
        <w:rPr>
          <w:rFonts w:asciiTheme="majorBidi" w:hAnsiTheme="majorBidi" w:cstheme="majorBidi"/>
        </w:rPr>
        <w:t xml:space="preserve">Sol Goldberg, “Jewish Self-Hatred” in Sol Goldberg, Scott Ury, Kalman Wieser (eds) </w:t>
      </w:r>
      <w:r>
        <w:rPr>
          <w:rFonts w:asciiTheme="majorBidi" w:hAnsiTheme="majorBidi" w:cstheme="majorBidi"/>
          <w:i/>
        </w:rPr>
        <w:t xml:space="preserve">Key Concepts in the Study of Antisemitism </w:t>
      </w:r>
      <w:r>
        <w:rPr>
          <w:rFonts w:asciiTheme="majorBidi" w:hAnsiTheme="majorBidi" w:cstheme="majorBidi"/>
          <w:iCs/>
        </w:rPr>
        <w:t>(London: Palgrave Macmillan, 2021), 146-160.</w:t>
      </w:r>
    </w:p>
    <w:sectPr w:rsidR="00356806" w:rsidRPr="004F1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17A7"/>
    <w:multiLevelType w:val="hybridMultilevel"/>
    <w:tmpl w:val="877AFC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06"/>
    <w:rsid w:val="00000CC6"/>
    <w:rsid w:val="0000699B"/>
    <w:rsid w:val="000159BF"/>
    <w:rsid w:val="00023DE0"/>
    <w:rsid w:val="00042774"/>
    <w:rsid w:val="00073C3D"/>
    <w:rsid w:val="001022AE"/>
    <w:rsid w:val="00105FA9"/>
    <w:rsid w:val="00132423"/>
    <w:rsid w:val="00171270"/>
    <w:rsid w:val="001935A5"/>
    <w:rsid w:val="00197C1F"/>
    <w:rsid w:val="001B2884"/>
    <w:rsid w:val="001C2483"/>
    <w:rsid w:val="00201407"/>
    <w:rsid w:val="002520A0"/>
    <w:rsid w:val="00261187"/>
    <w:rsid w:val="00270357"/>
    <w:rsid w:val="00297378"/>
    <w:rsid w:val="002B29FE"/>
    <w:rsid w:val="002D733F"/>
    <w:rsid w:val="002E31C9"/>
    <w:rsid w:val="00303064"/>
    <w:rsid w:val="00306DF7"/>
    <w:rsid w:val="00356806"/>
    <w:rsid w:val="00360331"/>
    <w:rsid w:val="003838E8"/>
    <w:rsid w:val="003B1621"/>
    <w:rsid w:val="003D0859"/>
    <w:rsid w:val="00430EEA"/>
    <w:rsid w:val="00461CD2"/>
    <w:rsid w:val="00480563"/>
    <w:rsid w:val="004A56FD"/>
    <w:rsid w:val="004C28F8"/>
    <w:rsid w:val="004D064A"/>
    <w:rsid w:val="004F1839"/>
    <w:rsid w:val="00520591"/>
    <w:rsid w:val="005310E2"/>
    <w:rsid w:val="00561733"/>
    <w:rsid w:val="00565F3A"/>
    <w:rsid w:val="00573977"/>
    <w:rsid w:val="005B6576"/>
    <w:rsid w:val="005C6EBC"/>
    <w:rsid w:val="005E5C37"/>
    <w:rsid w:val="00655100"/>
    <w:rsid w:val="006933C9"/>
    <w:rsid w:val="0069360D"/>
    <w:rsid w:val="00693F34"/>
    <w:rsid w:val="00694351"/>
    <w:rsid w:val="006A4228"/>
    <w:rsid w:val="006B466C"/>
    <w:rsid w:val="006D0845"/>
    <w:rsid w:val="006E1BAD"/>
    <w:rsid w:val="00714FB5"/>
    <w:rsid w:val="00726941"/>
    <w:rsid w:val="00771A36"/>
    <w:rsid w:val="007A6A09"/>
    <w:rsid w:val="007F300E"/>
    <w:rsid w:val="007F4E50"/>
    <w:rsid w:val="0080355F"/>
    <w:rsid w:val="008037EF"/>
    <w:rsid w:val="008058FB"/>
    <w:rsid w:val="00815E37"/>
    <w:rsid w:val="008A1245"/>
    <w:rsid w:val="008C7A52"/>
    <w:rsid w:val="008D1CB1"/>
    <w:rsid w:val="008D69F4"/>
    <w:rsid w:val="008F7722"/>
    <w:rsid w:val="009319D3"/>
    <w:rsid w:val="00940EBA"/>
    <w:rsid w:val="00954FEE"/>
    <w:rsid w:val="00967454"/>
    <w:rsid w:val="009956D9"/>
    <w:rsid w:val="009A55B8"/>
    <w:rsid w:val="009C1F3F"/>
    <w:rsid w:val="00A90B9F"/>
    <w:rsid w:val="00A93B33"/>
    <w:rsid w:val="00AA481F"/>
    <w:rsid w:val="00AA679E"/>
    <w:rsid w:val="00AB5B4C"/>
    <w:rsid w:val="00AC5131"/>
    <w:rsid w:val="00AE0A9F"/>
    <w:rsid w:val="00AF78A5"/>
    <w:rsid w:val="00B63E85"/>
    <w:rsid w:val="00B76C15"/>
    <w:rsid w:val="00B921F4"/>
    <w:rsid w:val="00B946AB"/>
    <w:rsid w:val="00BC329D"/>
    <w:rsid w:val="00C81DF9"/>
    <w:rsid w:val="00CB3859"/>
    <w:rsid w:val="00CD72EE"/>
    <w:rsid w:val="00D57555"/>
    <w:rsid w:val="00DC2EC3"/>
    <w:rsid w:val="00DC33C4"/>
    <w:rsid w:val="00DD23C0"/>
    <w:rsid w:val="00DE7331"/>
    <w:rsid w:val="00DF0918"/>
    <w:rsid w:val="00E24324"/>
    <w:rsid w:val="00E463DB"/>
    <w:rsid w:val="00E62960"/>
    <w:rsid w:val="00E82B90"/>
    <w:rsid w:val="00EE4CD0"/>
    <w:rsid w:val="00F270D5"/>
    <w:rsid w:val="00F3717C"/>
    <w:rsid w:val="00F8457C"/>
    <w:rsid w:val="00FD70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6745"/>
  <w15:chartTrackingRefBased/>
  <w15:docId w15:val="{5D18F3A3-B4D3-4A25-88DF-AEE0A043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roman"/>
        <w:bCs/>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6806"/>
    <w:rPr>
      <w:i/>
      <w:iCs/>
    </w:rPr>
  </w:style>
  <w:style w:type="paragraph" w:styleId="ListParagraph">
    <w:name w:val="List Paragraph"/>
    <w:basedOn w:val="Normal"/>
    <w:uiPriority w:val="34"/>
    <w:qFormat/>
    <w:rsid w:val="004F1839"/>
    <w:pPr>
      <w:ind w:left="720"/>
      <w:contextualSpacing/>
    </w:pPr>
  </w:style>
  <w:style w:type="paragraph" w:styleId="Revision">
    <w:name w:val="Revision"/>
    <w:hidden/>
    <w:uiPriority w:val="99"/>
    <w:semiHidden/>
    <w:rsid w:val="006A4228"/>
    <w:pPr>
      <w:spacing w:after="0" w:line="240" w:lineRule="auto"/>
    </w:pPr>
  </w:style>
  <w:style w:type="character" w:styleId="CommentReference">
    <w:name w:val="annotation reference"/>
    <w:basedOn w:val="DefaultParagraphFont"/>
    <w:uiPriority w:val="99"/>
    <w:semiHidden/>
    <w:unhideWhenUsed/>
    <w:rsid w:val="006A4228"/>
    <w:rPr>
      <w:sz w:val="16"/>
      <w:szCs w:val="16"/>
    </w:rPr>
  </w:style>
  <w:style w:type="paragraph" w:styleId="CommentText">
    <w:name w:val="annotation text"/>
    <w:basedOn w:val="Normal"/>
    <w:link w:val="CommentTextChar"/>
    <w:uiPriority w:val="99"/>
    <w:unhideWhenUsed/>
    <w:rsid w:val="006A4228"/>
    <w:pPr>
      <w:spacing w:line="240" w:lineRule="auto"/>
    </w:pPr>
    <w:rPr>
      <w:sz w:val="20"/>
      <w:szCs w:val="20"/>
    </w:rPr>
  </w:style>
  <w:style w:type="character" w:customStyle="1" w:styleId="CommentTextChar">
    <w:name w:val="Comment Text Char"/>
    <w:basedOn w:val="DefaultParagraphFont"/>
    <w:link w:val="CommentText"/>
    <w:uiPriority w:val="99"/>
    <w:rsid w:val="006A4228"/>
    <w:rPr>
      <w:sz w:val="20"/>
      <w:szCs w:val="20"/>
    </w:rPr>
  </w:style>
  <w:style w:type="paragraph" w:styleId="CommentSubject">
    <w:name w:val="annotation subject"/>
    <w:basedOn w:val="CommentText"/>
    <w:next w:val="CommentText"/>
    <w:link w:val="CommentSubjectChar"/>
    <w:uiPriority w:val="99"/>
    <w:semiHidden/>
    <w:unhideWhenUsed/>
    <w:rsid w:val="006A4228"/>
    <w:rPr>
      <w:b/>
    </w:rPr>
  </w:style>
  <w:style w:type="character" w:customStyle="1" w:styleId="CommentSubjectChar">
    <w:name w:val="Comment Subject Char"/>
    <w:basedOn w:val="CommentTextChar"/>
    <w:link w:val="CommentSubject"/>
    <w:uiPriority w:val="99"/>
    <w:semiHidden/>
    <w:rsid w:val="006A4228"/>
    <w:rPr>
      <w:b/>
      <w:sz w:val="20"/>
      <w:szCs w:val="20"/>
    </w:rPr>
  </w:style>
  <w:style w:type="character" w:styleId="Hyperlink">
    <w:name w:val="Hyperlink"/>
    <w:basedOn w:val="DefaultParagraphFont"/>
    <w:uiPriority w:val="99"/>
    <w:unhideWhenUsed/>
    <w:rsid w:val="00E24324"/>
    <w:rPr>
      <w:color w:val="0563C1" w:themeColor="hyperlink"/>
      <w:u w:val="single"/>
    </w:rPr>
  </w:style>
  <w:style w:type="character" w:styleId="UnresolvedMention">
    <w:name w:val="Unresolved Mention"/>
    <w:basedOn w:val="DefaultParagraphFont"/>
    <w:uiPriority w:val="99"/>
    <w:semiHidden/>
    <w:unhideWhenUsed/>
    <w:rsid w:val="00E2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3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ybeller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6621-D7E6-437A-8A43-7DC0B8E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Beller</dc:creator>
  <cp:keywords/>
  <dc:description/>
  <cp:lastModifiedBy>Nadine Ziyadeh</cp:lastModifiedBy>
  <cp:revision>6</cp:revision>
  <dcterms:created xsi:type="dcterms:W3CDTF">2024-05-14T16:00:00Z</dcterms:created>
  <dcterms:modified xsi:type="dcterms:W3CDTF">2024-06-24T07:15:00Z</dcterms:modified>
</cp:coreProperties>
</file>