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364" w:type="dxa"/>
        <w:tblInd w:w="108" w:type="dxa"/>
        <w:tblLayout w:type="fixed"/>
        <w:tblLook w:val="01E0" w:firstRow="1" w:lastRow="1" w:firstColumn="1" w:lastColumn="1" w:noHBand="0" w:noVBand="0"/>
      </w:tblPr>
      <w:tblGrid>
        <w:gridCol w:w="4536"/>
        <w:gridCol w:w="3828"/>
      </w:tblGrid>
      <w:tr w:rsidR="0006731F" w:rsidRPr="00500061" w:rsidTr="0006731F">
        <w:trPr>
          <w:trHeight w:val="865"/>
        </w:trPr>
        <w:tc>
          <w:tcPr>
            <w:tcW w:w="4536" w:type="dxa"/>
            <w:vAlign w:val="bottom"/>
          </w:tcPr>
          <w:p w:rsidR="0006731F" w:rsidRDefault="0006731F" w:rsidP="0006731F">
            <w:pPr>
              <w:spacing w:line="276" w:lineRule="auto"/>
              <w:jc w:val="center"/>
              <w:rPr>
                <w:rFonts w:cs="Guttman Hodes"/>
                <w:spacing w:val="32"/>
                <w:sz w:val="20"/>
                <w:szCs w:val="20"/>
              </w:rPr>
            </w:pPr>
            <w:r>
              <w:rPr>
                <w:rFonts w:cs="Guttman Hodes"/>
                <w:spacing w:val="32"/>
                <w:sz w:val="20"/>
                <w:szCs w:val="20"/>
              </w:rPr>
              <w:t>ab</w:t>
            </w:r>
          </w:p>
          <w:p w:rsidR="0006731F" w:rsidRDefault="0006731F" w:rsidP="0006731F">
            <w:pPr>
              <w:spacing w:line="276" w:lineRule="auto"/>
              <w:jc w:val="center"/>
              <w:rPr>
                <w:rFonts w:cs="Guttman Hodes"/>
                <w:spacing w:val="32"/>
                <w:sz w:val="20"/>
                <w:szCs w:val="20"/>
              </w:rPr>
            </w:pPr>
          </w:p>
          <w:p w:rsidR="0006731F" w:rsidRDefault="0006731F" w:rsidP="0006731F">
            <w:pPr>
              <w:spacing w:line="276" w:lineRule="auto"/>
              <w:jc w:val="center"/>
              <w:rPr>
                <w:rFonts w:cs="Guttman Hodes"/>
                <w:spacing w:val="32"/>
                <w:sz w:val="20"/>
                <w:szCs w:val="20"/>
              </w:rPr>
            </w:pPr>
          </w:p>
          <w:p w:rsidR="0006731F" w:rsidRPr="001227B4" w:rsidRDefault="0006731F" w:rsidP="0006731F">
            <w:pPr>
              <w:spacing w:line="276" w:lineRule="auto"/>
              <w:ind w:left="318"/>
              <w:rPr>
                <w:rFonts w:cs="Guttman Hodes"/>
                <w:spacing w:val="32"/>
                <w:sz w:val="20"/>
                <w:szCs w:val="20"/>
                <w:rtl/>
              </w:rPr>
            </w:pPr>
            <w:r w:rsidRPr="001227B4">
              <w:rPr>
                <w:rFonts w:cs="Guttman Hodes"/>
                <w:spacing w:val="32"/>
                <w:sz w:val="20"/>
                <w:szCs w:val="20"/>
              </w:rPr>
              <w:t>Department of Summer Courses</w:t>
            </w:r>
          </w:p>
          <w:p w:rsidR="0006731F" w:rsidRPr="00500061" w:rsidRDefault="0006731F" w:rsidP="0006731F">
            <w:pPr>
              <w:spacing w:line="276" w:lineRule="auto"/>
              <w:ind w:left="318"/>
              <w:rPr>
                <w:b/>
                <w:bCs/>
                <w:spacing w:val="152"/>
                <w:sz w:val="40"/>
                <w:szCs w:val="40"/>
              </w:rPr>
            </w:pPr>
            <w:r w:rsidRPr="001227B4">
              <w:rPr>
                <w:rFonts w:cs="Guttman Hodes"/>
                <w:spacing w:val="32"/>
                <w:sz w:val="20"/>
                <w:szCs w:val="20"/>
              </w:rPr>
              <w:t>and Special Programs</w:t>
            </w:r>
          </w:p>
        </w:tc>
        <w:tc>
          <w:tcPr>
            <w:tcW w:w="3828" w:type="dxa"/>
            <w:vAlign w:val="bottom"/>
          </w:tcPr>
          <w:p w:rsidR="0006731F" w:rsidRDefault="0006731F" w:rsidP="0006731F">
            <w:pPr>
              <w:bidi/>
              <w:spacing w:line="276" w:lineRule="auto"/>
              <w:jc w:val="center"/>
            </w:pPr>
          </w:p>
          <w:p w:rsidR="0006731F" w:rsidRPr="003160B2" w:rsidRDefault="0006731F" w:rsidP="0006731F">
            <w:pPr>
              <w:bidi/>
              <w:spacing w:line="276" w:lineRule="auto"/>
              <w:rPr>
                <w:rFonts w:cs="David"/>
                <w:sz w:val="22"/>
                <w:szCs w:val="22"/>
                <w:rtl/>
              </w:rPr>
            </w:pPr>
            <w:r w:rsidRPr="003160B2">
              <w:rPr>
                <w:rFonts w:cs="David" w:hint="cs"/>
                <w:sz w:val="22"/>
                <w:szCs w:val="22"/>
                <w:rtl/>
              </w:rPr>
              <w:t>ה</w:t>
            </w:r>
            <w:r w:rsidRPr="003160B2">
              <w:rPr>
                <w:rFonts w:cs="David"/>
                <w:sz w:val="22"/>
                <w:szCs w:val="22"/>
              </w:rPr>
              <w:t xml:space="preserve"> </w:t>
            </w:r>
            <w:r w:rsidRPr="003160B2">
              <w:rPr>
                <w:rFonts w:cs="David" w:hint="cs"/>
                <w:sz w:val="22"/>
                <w:szCs w:val="22"/>
                <w:rtl/>
              </w:rPr>
              <w:t>מ</w:t>
            </w:r>
            <w:r w:rsidRPr="003160B2">
              <w:rPr>
                <w:rFonts w:cs="David"/>
                <w:sz w:val="22"/>
                <w:szCs w:val="22"/>
              </w:rPr>
              <w:t xml:space="preserve"> </w:t>
            </w:r>
            <w:r w:rsidRPr="003160B2">
              <w:rPr>
                <w:rFonts w:cs="David" w:hint="cs"/>
                <w:sz w:val="22"/>
                <w:szCs w:val="22"/>
                <w:rtl/>
              </w:rPr>
              <w:t>ח</w:t>
            </w:r>
            <w:r w:rsidRPr="003160B2">
              <w:rPr>
                <w:rFonts w:cs="David"/>
                <w:sz w:val="22"/>
                <w:szCs w:val="22"/>
              </w:rPr>
              <w:t xml:space="preserve"> </w:t>
            </w:r>
            <w:r w:rsidRPr="003160B2">
              <w:rPr>
                <w:rFonts w:cs="David" w:hint="cs"/>
                <w:sz w:val="22"/>
                <w:szCs w:val="22"/>
                <w:rtl/>
              </w:rPr>
              <w:t>ל</w:t>
            </w:r>
            <w:r w:rsidRPr="003160B2">
              <w:rPr>
                <w:rFonts w:cs="David"/>
                <w:sz w:val="22"/>
                <w:szCs w:val="22"/>
              </w:rPr>
              <w:t xml:space="preserve"> </w:t>
            </w:r>
            <w:r w:rsidRPr="003160B2">
              <w:rPr>
                <w:rFonts w:cs="David" w:hint="cs"/>
                <w:sz w:val="22"/>
                <w:szCs w:val="22"/>
                <w:rtl/>
              </w:rPr>
              <w:t>ק</w:t>
            </w:r>
            <w:r w:rsidRPr="003160B2">
              <w:rPr>
                <w:rFonts w:cs="David"/>
                <w:sz w:val="22"/>
                <w:szCs w:val="22"/>
              </w:rPr>
              <w:t xml:space="preserve"> </w:t>
            </w:r>
            <w:r w:rsidRPr="003160B2">
              <w:rPr>
                <w:rFonts w:cs="David" w:hint="cs"/>
                <w:sz w:val="22"/>
                <w:szCs w:val="22"/>
                <w:rtl/>
              </w:rPr>
              <w:t>ה</w:t>
            </w:r>
            <w:r w:rsidRPr="003160B2">
              <w:rPr>
                <w:rFonts w:cs="David"/>
                <w:sz w:val="22"/>
                <w:szCs w:val="22"/>
              </w:rPr>
              <w:t xml:space="preserve">   </w:t>
            </w:r>
            <w:r w:rsidRPr="003160B2">
              <w:rPr>
                <w:rFonts w:cs="David" w:hint="cs"/>
                <w:sz w:val="22"/>
                <w:szCs w:val="22"/>
                <w:rtl/>
              </w:rPr>
              <w:t xml:space="preserve"> ל</w:t>
            </w:r>
            <w:r w:rsidRPr="003160B2">
              <w:rPr>
                <w:rFonts w:cs="David"/>
                <w:sz w:val="22"/>
                <w:szCs w:val="22"/>
              </w:rPr>
              <w:t xml:space="preserve"> </w:t>
            </w:r>
            <w:r w:rsidRPr="003160B2">
              <w:rPr>
                <w:rFonts w:cs="David" w:hint="cs"/>
                <w:sz w:val="22"/>
                <w:szCs w:val="22"/>
                <w:rtl/>
              </w:rPr>
              <w:t>ק</w:t>
            </w:r>
            <w:r w:rsidRPr="003160B2">
              <w:rPr>
                <w:rFonts w:cs="David"/>
                <w:sz w:val="22"/>
                <w:szCs w:val="22"/>
              </w:rPr>
              <w:t xml:space="preserve"> </w:t>
            </w:r>
            <w:r w:rsidRPr="003160B2">
              <w:rPr>
                <w:rFonts w:cs="David" w:hint="cs"/>
                <w:sz w:val="22"/>
                <w:szCs w:val="22"/>
                <w:rtl/>
              </w:rPr>
              <w:t>ו</w:t>
            </w:r>
            <w:r w:rsidRPr="003160B2">
              <w:rPr>
                <w:rFonts w:cs="David"/>
                <w:sz w:val="22"/>
                <w:szCs w:val="22"/>
              </w:rPr>
              <w:t xml:space="preserve"> </w:t>
            </w:r>
            <w:r w:rsidRPr="003160B2">
              <w:rPr>
                <w:rFonts w:cs="David" w:hint="cs"/>
                <w:sz w:val="22"/>
                <w:szCs w:val="22"/>
                <w:rtl/>
              </w:rPr>
              <w:t>ר</w:t>
            </w:r>
            <w:r w:rsidRPr="003160B2">
              <w:rPr>
                <w:rFonts w:cs="David"/>
                <w:sz w:val="22"/>
                <w:szCs w:val="22"/>
              </w:rPr>
              <w:t xml:space="preserve"> </w:t>
            </w:r>
            <w:r w:rsidRPr="003160B2">
              <w:rPr>
                <w:rFonts w:cs="David" w:hint="cs"/>
                <w:sz w:val="22"/>
                <w:szCs w:val="22"/>
                <w:rtl/>
              </w:rPr>
              <w:t>ס</w:t>
            </w:r>
            <w:r w:rsidRPr="003160B2">
              <w:rPr>
                <w:rFonts w:cs="David"/>
                <w:sz w:val="22"/>
                <w:szCs w:val="22"/>
              </w:rPr>
              <w:t xml:space="preserve"> </w:t>
            </w:r>
            <w:r w:rsidRPr="003160B2">
              <w:rPr>
                <w:rFonts w:cs="David" w:hint="cs"/>
                <w:sz w:val="22"/>
                <w:szCs w:val="22"/>
                <w:rtl/>
              </w:rPr>
              <w:t>י</w:t>
            </w:r>
            <w:r w:rsidRPr="003160B2">
              <w:rPr>
                <w:rFonts w:cs="David"/>
                <w:sz w:val="22"/>
                <w:szCs w:val="22"/>
              </w:rPr>
              <w:t xml:space="preserve">   </w:t>
            </w:r>
            <w:r w:rsidRPr="003160B2">
              <w:rPr>
                <w:rFonts w:cs="David" w:hint="cs"/>
                <w:sz w:val="22"/>
                <w:szCs w:val="22"/>
                <w:rtl/>
              </w:rPr>
              <w:t xml:space="preserve"> ק</w:t>
            </w:r>
            <w:r w:rsidRPr="003160B2">
              <w:rPr>
                <w:rFonts w:cs="David"/>
                <w:sz w:val="22"/>
                <w:szCs w:val="22"/>
              </w:rPr>
              <w:t xml:space="preserve"> </w:t>
            </w:r>
            <w:r w:rsidRPr="003160B2">
              <w:rPr>
                <w:rFonts w:cs="David" w:hint="cs"/>
                <w:sz w:val="22"/>
                <w:szCs w:val="22"/>
                <w:rtl/>
              </w:rPr>
              <w:t>י</w:t>
            </w:r>
            <w:r w:rsidRPr="003160B2">
              <w:rPr>
                <w:rFonts w:cs="David"/>
                <w:sz w:val="22"/>
                <w:szCs w:val="22"/>
              </w:rPr>
              <w:t xml:space="preserve"> </w:t>
            </w:r>
            <w:r w:rsidRPr="003160B2">
              <w:rPr>
                <w:rFonts w:cs="David" w:hint="cs"/>
                <w:sz w:val="22"/>
                <w:szCs w:val="22"/>
                <w:rtl/>
              </w:rPr>
              <w:t>ץ</w:t>
            </w:r>
          </w:p>
          <w:p w:rsidR="0006731F" w:rsidRPr="00500061" w:rsidRDefault="0006731F" w:rsidP="0006731F">
            <w:pPr>
              <w:bidi/>
              <w:spacing w:line="276" w:lineRule="auto"/>
              <w:rPr>
                <w:b/>
                <w:bCs/>
                <w:spacing w:val="152"/>
                <w:sz w:val="40"/>
                <w:szCs w:val="40"/>
              </w:rPr>
            </w:pPr>
            <w:r w:rsidRPr="003160B2">
              <w:rPr>
                <w:rFonts w:cs="David" w:hint="cs"/>
                <w:sz w:val="22"/>
                <w:szCs w:val="22"/>
                <w:rtl/>
              </w:rPr>
              <w:t>ו</w:t>
            </w:r>
            <w:r w:rsidRPr="003160B2">
              <w:rPr>
                <w:rFonts w:cs="David"/>
                <w:sz w:val="22"/>
                <w:szCs w:val="22"/>
              </w:rPr>
              <w:t xml:space="preserve"> </w:t>
            </w:r>
            <w:r w:rsidRPr="003160B2">
              <w:rPr>
                <w:rFonts w:cs="David" w:hint="cs"/>
                <w:sz w:val="22"/>
                <w:szCs w:val="22"/>
                <w:rtl/>
              </w:rPr>
              <w:t>ת</w:t>
            </w:r>
            <w:r w:rsidRPr="003160B2">
              <w:rPr>
                <w:rFonts w:cs="David"/>
                <w:sz w:val="22"/>
                <w:szCs w:val="22"/>
              </w:rPr>
              <w:t xml:space="preserve"> </w:t>
            </w:r>
            <w:r w:rsidRPr="003160B2">
              <w:rPr>
                <w:rFonts w:cs="David" w:hint="cs"/>
                <w:sz w:val="22"/>
                <w:szCs w:val="22"/>
                <w:rtl/>
              </w:rPr>
              <w:t>ו</w:t>
            </w:r>
            <w:r w:rsidRPr="003160B2">
              <w:rPr>
                <w:rFonts w:cs="David"/>
                <w:sz w:val="22"/>
                <w:szCs w:val="22"/>
              </w:rPr>
              <w:t xml:space="preserve"> </w:t>
            </w:r>
            <w:r w:rsidRPr="003160B2">
              <w:rPr>
                <w:rFonts w:cs="David" w:hint="cs"/>
                <w:sz w:val="22"/>
                <w:szCs w:val="22"/>
                <w:rtl/>
              </w:rPr>
              <w:t>כ</w:t>
            </w:r>
            <w:r w:rsidRPr="003160B2">
              <w:rPr>
                <w:rFonts w:cs="David"/>
                <w:sz w:val="22"/>
                <w:szCs w:val="22"/>
              </w:rPr>
              <w:t xml:space="preserve"> </w:t>
            </w:r>
            <w:r w:rsidRPr="003160B2">
              <w:rPr>
                <w:rFonts w:cs="David" w:hint="cs"/>
                <w:sz w:val="22"/>
                <w:szCs w:val="22"/>
                <w:rtl/>
              </w:rPr>
              <w:t>נ</w:t>
            </w:r>
            <w:r w:rsidRPr="003160B2">
              <w:rPr>
                <w:rFonts w:cs="David"/>
                <w:sz w:val="22"/>
                <w:szCs w:val="22"/>
              </w:rPr>
              <w:t xml:space="preserve"> </w:t>
            </w:r>
            <w:r w:rsidRPr="003160B2">
              <w:rPr>
                <w:rFonts w:cs="David" w:hint="cs"/>
                <w:sz w:val="22"/>
                <w:szCs w:val="22"/>
                <w:rtl/>
              </w:rPr>
              <w:t>י</w:t>
            </w:r>
            <w:r w:rsidRPr="003160B2">
              <w:rPr>
                <w:rFonts w:cs="David"/>
                <w:sz w:val="22"/>
                <w:szCs w:val="22"/>
              </w:rPr>
              <w:t xml:space="preserve"> </w:t>
            </w:r>
            <w:r w:rsidRPr="003160B2">
              <w:rPr>
                <w:rFonts w:cs="David" w:hint="cs"/>
                <w:sz w:val="22"/>
                <w:szCs w:val="22"/>
                <w:rtl/>
              </w:rPr>
              <w:t>ו</w:t>
            </w:r>
            <w:r w:rsidRPr="003160B2">
              <w:rPr>
                <w:rFonts w:cs="David"/>
                <w:sz w:val="22"/>
                <w:szCs w:val="22"/>
              </w:rPr>
              <w:t xml:space="preserve"> </w:t>
            </w:r>
            <w:r w:rsidRPr="003160B2">
              <w:rPr>
                <w:rFonts w:cs="David" w:hint="cs"/>
                <w:sz w:val="22"/>
                <w:szCs w:val="22"/>
                <w:rtl/>
              </w:rPr>
              <w:t>ת</w:t>
            </w:r>
            <w:r w:rsidRPr="003160B2">
              <w:rPr>
                <w:rFonts w:cs="David"/>
                <w:sz w:val="22"/>
                <w:szCs w:val="22"/>
              </w:rPr>
              <w:t xml:space="preserve">   </w:t>
            </w:r>
            <w:r w:rsidRPr="003160B2">
              <w:rPr>
                <w:rFonts w:cs="David" w:hint="cs"/>
                <w:sz w:val="22"/>
                <w:szCs w:val="22"/>
                <w:rtl/>
              </w:rPr>
              <w:t xml:space="preserve"> מ</w:t>
            </w:r>
            <w:r w:rsidRPr="003160B2">
              <w:rPr>
                <w:rFonts w:cs="David"/>
                <w:sz w:val="22"/>
                <w:szCs w:val="22"/>
              </w:rPr>
              <w:t xml:space="preserve"> </w:t>
            </w:r>
            <w:r w:rsidRPr="003160B2">
              <w:rPr>
                <w:rFonts w:cs="David" w:hint="cs"/>
                <w:sz w:val="22"/>
                <w:szCs w:val="22"/>
                <w:rtl/>
              </w:rPr>
              <w:t>י</w:t>
            </w:r>
            <w:r w:rsidRPr="003160B2">
              <w:rPr>
                <w:rFonts w:cs="David"/>
                <w:sz w:val="22"/>
                <w:szCs w:val="22"/>
              </w:rPr>
              <w:t xml:space="preserve"> </w:t>
            </w:r>
            <w:r w:rsidRPr="003160B2">
              <w:rPr>
                <w:rFonts w:cs="David" w:hint="cs"/>
                <w:sz w:val="22"/>
                <w:szCs w:val="22"/>
                <w:rtl/>
              </w:rPr>
              <w:t>ו</w:t>
            </w:r>
            <w:r w:rsidRPr="003160B2">
              <w:rPr>
                <w:rFonts w:cs="David"/>
                <w:sz w:val="22"/>
                <w:szCs w:val="22"/>
              </w:rPr>
              <w:t xml:space="preserve"> </w:t>
            </w:r>
            <w:r w:rsidRPr="003160B2">
              <w:rPr>
                <w:rFonts w:cs="David" w:hint="cs"/>
                <w:sz w:val="22"/>
                <w:szCs w:val="22"/>
                <w:rtl/>
              </w:rPr>
              <w:t>ח</w:t>
            </w:r>
            <w:r w:rsidRPr="003160B2">
              <w:rPr>
                <w:rFonts w:cs="David"/>
                <w:sz w:val="22"/>
                <w:szCs w:val="22"/>
              </w:rPr>
              <w:t xml:space="preserve"> </w:t>
            </w:r>
            <w:r w:rsidRPr="003160B2">
              <w:rPr>
                <w:rFonts w:cs="David" w:hint="cs"/>
                <w:sz w:val="22"/>
                <w:szCs w:val="22"/>
                <w:rtl/>
              </w:rPr>
              <w:t>ד</w:t>
            </w:r>
            <w:r w:rsidRPr="003160B2">
              <w:rPr>
                <w:rFonts w:cs="David"/>
                <w:sz w:val="22"/>
                <w:szCs w:val="22"/>
              </w:rPr>
              <w:t xml:space="preserve"> </w:t>
            </w:r>
            <w:r w:rsidRPr="003160B2">
              <w:rPr>
                <w:rFonts w:cs="David" w:hint="cs"/>
                <w:sz w:val="22"/>
                <w:szCs w:val="22"/>
                <w:rtl/>
              </w:rPr>
              <w:t>ו</w:t>
            </w:r>
            <w:r w:rsidRPr="003160B2">
              <w:rPr>
                <w:rFonts w:cs="David"/>
                <w:sz w:val="22"/>
                <w:szCs w:val="22"/>
              </w:rPr>
              <w:t xml:space="preserve"> </w:t>
            </w:r>
            <w:r w:rsidRPr="003160B2">
              <w:rPr>
                <w:rFonts w:cs="David" w:hint="cs"/>
                <w:sz w:val="22"/>
                <w:szCs w:val="22"/>
                <w:rtl/>
              </w:rPr>
              <w:t>ת</w:t>
            </w:r>
          </w:p>
        </w:tc>
      </w:tr>
    </w:tbl>
    <w:p w:rsidR="0006731F" w:rsidRDefault="00D47798" w:rsidP="0006731F">
      <w:pPr>
        <w:spacing w:line="360" w:lineRule="auto"/>
        <w:rPr>
          <w:b/>
          <w:bCs/>
          <w:sz w:val="32"/>
          <w:szCs w:val="32"/>
        </w:rPr>
      </w:pPr>
      <w:r>
        <w:rPr>
          <w:noProof/>
        </w:rPr>
        <w:drawing>
          <wp:anchor distT="0" distB="0" distL="114300" distR="114300" simplePos="0" relativeHeight="251657728" behindDoc="1" locked="0" layoutInCell="1" allowOverlap="1">
            <wp:simplePos x="0" y="0"/>
            <wp:positionH relativeFrom="column">
              <wp:posOffset>188595</wp:posOffset>
            </wp:positionH>
            <wp:positionV relativeFrom="paragraph">
              <wp:posOffset>-1722755</wp:posOffset>
            </wp:positionV>
            <wp:extent cx="5238750" cy="1343025"/>
            <wp:effectExtent l="0" t="0" r="0" b="0"/>
            <wp:wrapNone/>
            <wp:docPr id="2"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omputer&#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731F" w:rsidRPr="00FB2103" w:rsidRDefault="0006731F" w:rsidP="0014691A">
      <w:pPr>
        <w:spacing w:line="360" w:lineRule="auto"/>
        <w:ind w:left="900"/>
        <w:jc w:val="center"/>
        <w:rPr>
          <w:b/>
          <w:bCs/>
          <w:sz w:val="32"/>
          <w:szCs w:val="32"/>
        </w:rPr>
      </w:pPr>
      <w:r w:rsidRPr="00FB2103">
        <w:rPr>
          <w:b/>
          <w:bCs/>
          <w:sz w:val="32"/>
          <w:szCs w:val="32"/>
        </w:rPr>
        <w:t>Conflict Resolution from Theory to Practice:</w:t>
      </w:r>
    </w:p>
    <w:p w:rsidR="0006731F" w:rsidRPr="00FB2103" w:rsidRDefault="0006731F" w:rsidP="0014691A">
      <w:pPr>
        <w:spacing w:line="360" w:lineRule="auto"/>
        <w:ind w:left="900"/>
        <w:jc w:val="center"/>
        <w:rPr>
          <w:b/>
          <w:bCs/>
          <w:sz w:val="32"/>
          <w:szCs w:val="32"/>
        </w:rPr>
      </w:pPr>
      <w:r w:rsidRPr="00FB2103">
        <w:rPr>
          <w:b/>
          <w:bCs/>
          <w:sz w:val="32"/>
          <w:szCs w:val="32"/>
        </w:rPr>
        <w:t>Israel as a Case Study (</w:t>
      </w:r>
      <w:r>
        <w:rPr>
          <w:b/>
          <w:bCs/>
          <w:sz w:val="32"/>
          <w:szCs w:val="32"/>
        </w:rPr>
        <w:t>48457</w:t>
      </w:r>
      <w:r w:rsidRPr="00FB2103">
        <w:rPr>
          <w:b/>
          <w:bCs/>
          <w:sz w:val="32"/>
          <w:szCs w:val="32"/>
        </w:rPr>
        <w:t>)</w:t>
      </w:r>
    </w:p>
    <w:p w:rsidR="00CF1C64" w:rsidRDefault="00CF1C64" w:rsidP="0014691A">
      <w:pPr>
        <w:spacing w:line="360" w:lineRule="auto"/>
        <w:ind w:left="900"/>
        <w:jc w:val="center"/>
      </w:pPr>
      <w:r w:rsidRPr="00CF1C64">
        <w:t xml:space="preserve">July </w:t>
      </w:r>
      <w:r w:rsidR="0053521A">
        <w:t>1</w:t>
      </w:r>
      <w:r w:rsidRPr="00CF1C64">
        <w:t xml:space="preserve"> – July 2</w:t>
      </w:r>
      <w:r w:rsidR="0053521A">
        <w:t>5</w:t>
      </w:r>
      <w:r w:rsidRPr="00CF1C64">
        <w:t>, 202</w:t>
      </w:r>
      <w:r w:rsidR="0053521A">
        <w:t>4</w:t>
      </w:r>
    </w:p>
    <w:p w:rsidR="0006731F" w:rsidRDefault="0006731F" w:rsidP="0014691A">
      <w:pPr>
        <w:spacing w:line="360" w:lineRule="auto"/>
        <w:ind w:left="900"/>
        <w:jc w:val="center"/>
      </w:pPr>
      <w:r w:rsidRPr="00FB2103">
        <w:t>45 Academic Hours, 3 Academic Credits</w:t>
      </w:r>
    </w:p>
    <w:p w:rsidR="0006731F" w:rsidRDefault="0006731F" w:rsidP="0014691A">
      <w:pPr>
        <w:spacing w:line="360" w:lineRule="auto"/>
        <w:jc w:val="center"/>
        <w:rPr>
          <w:rFonts w:ascii="Cambria" w:hAnsi="Cambria"/>
        </w:rPr>
      </w:pPr>
      <w:r w:rsidRPr="00585695">
        <w:rPr>
          <w:rFonts w:ascii="Cambria" w:hAnsi="Cambria"/>
        </w:rPr>
        <w:t>Yuval Benziman, PhD.</w:t>
      </w:r>
    </w:p>
    <w:p w:rsidR="0006731F" w:rsidRDefault="0053521A" w:rsidP="0014691A">
      <w:pPr>
        <w:spacing w:line="360" w:lineRule="auto"/>
        <w:jc w:val="center"/>
        <w:rPr>
          <w:rFonts w:ascii="Cambria" w:hAnsi="Cambria"/>
        </w:rPr>
      </w:pPr>
      <w:hyperlink r:id="rId5" w:history="1">
        <w:r w:rsidR="0006731F" w:rsidRPr="00BE6573">
          <w:rPr>
            <w:rStyle w:val="Hyperlink"/>
            <w:rFonts w:ascii="Cambria" w:hAnsi="Cambria"/>
          </w:rPr>
          <w:t>yuval.benziman@mail.huji.ac.il</w:t>
        </w:r>
      </w:hyperlink>
    </w:p>
    <w:p w:rsidR="0066064C" w:rsidRDefault="0066064C" w:rsidP="0014691A">
      <w:pPr>
        <w:spacing w:line="360" w:lineRule="auto"/>
        <w:jc w:val="center"/>
        <w:rPr>
          <w:rFonts w:ascii="Cambria" w:hAnsi="Cambria"/>
        </w:rPr>
      </w:pPr>
      <w:r>
        <w:rPr>
          <w:rFonts w:ascii="Cambria" w:hAnsi="Cambria"/>
        </w:rPr>
        <w:t>Classroom 306</w:t>
      </w:r>
    </w:p>
    <w:p w:rsidR="0006731F" w:rsidRDefault="0006731F" w:rsidP="0014691A">
      <w:pPr>
        <w:spacing w:line="360" w:lineRule="auto"/>
        <w:jc w:val="center"/>
        <w:rPr>
          <w:rStyle w:val="description1"/>
          <w:rFonts w:ascii="Cambria" w:hAnsi="Cambria" w:cs="Times New Roman"/>
          <w:color w:val="auto"/>
          <w:sz w:val="24"/>
          <w:szCs w:val="24"/>
        </w:rPr>
      </w:pPr>
      <w:r w:rsidRPr="00F0437A">
        <w:rPr>
          <w:rStyle w:val="description1"/>
          <w:rFonts w:ascii="Cambria" w:hAnsi="Cambria" w:cs="Times New Roman"/>
          <w:color w:val="auto"/>
          <w:sz w:val="24"/>
          <w:szCs w:val="24"/>
        </w:rPr>
        <w:t xml:space="preserve">Office hours: </w:t>
      </w:r>
      <w:r>
        <w:rPr>
          <w:rStyle w:val="description1"/>
          <w:rFonts w:ascii="Cambria" w:hAnsi="Cambria" w:cs="Times New Roman"/>
          <w:color w:val="auto"/>
          <w:sz w:val="24"/>
          <w:szCs w:val="24"/>
        </w:rPr>
        <w:t>By appointment</w:t>
      </w:r>
    </w:p>
    <w:p w:rsidR="0006731F" w:rsidRDefault="0006731F" w:rsidP="0014691A">
      <w:pPr>
        <w:spacing w:line="360" w:lineRule="auto"/>
        <w:jc w:val="center"/>
        <w:rPr>
          <w:rStyle w:val="description1"/>
          <w:rFonts w:ascii="Cambria" w:hAnsi="Cambria" w:cs="Times New Roman"/>
          <w:color w:val="auto"/>
          <w:sz w:val="24"/>
          <w:szCs w:val="24"/>
        </w:rPr>
      </w:pPr>
      <w:r w:rsidRPr="00F0437A">
        <w:rPr>
          <w:rStyle w:val="description1"/>
          <w:rFonts w:ascii="Cambria" w:hAnsi="Cambria" w:cs="Times New Roman"/>
          <w:color w:val="auto"/>
          <w:sz w:val="24"/>
          <w:szCs w:val="24"/>
        </w:rPr>
        <w:t xml:space="preserve">hours: </w:t>
      </w:r>
      <w:r>
        <w:rPr>
          <w:rStyle w:val="description1"/>
          <w:rFonts w:ascii="Cambria" w:hAnsi="Cambria" w:cs="Times New Roman"/>
          <w:color w:val="auto"/>
          <w:sz w:val="24"/>
          <w:szCs w:val="24"/>
        </w:rPr>
        <w:t>By appointment</w:t>
      </w:r>
    </w:p>
    <w:p w:rsidR="0053521A" w:rsidRPr="0053521A" w:rsidRDefault="0053521A" w:rsidP="0014691A">
      <w:pPr>
        <w:spacing w:line="360" w:lineRule="auto"/>
        <w:jc w:val="center"/>
        <w:rPr>
          <w:rStyle w:val="description1"/>
          <w:rFonts w:ascii="Cambria" w:hAnsi="Cambria" w:cs="Times New Roman"/>
          <w:color w:val="FF0000"/>
          <w:sz w:val="24"/>
          <w:szCs w:val="24"/>
        </w:rPr>
      </w:pPr>
      <w:r w:rsidRPr="0053521A">
        <w:rPr>
          <w:rStyle w:val="description1"/>
          <w:rFonts w:ascii="Cambria" w:hAnsi="Cambria" w:cs="Times New Roman"/>
          <w:color w:val="FF0000"/>
          <w:sz w:val="24"/>
          <w:szCs w:val="24"/>
        </w:rPr>
        <w:t>Tentative syllabus</w:t>
      </w:r>
    </w:p>
    <w:p w:rsidR="00131EDE" w:rsidRPr="00F0437A" w:rsidRDefault="00131EDE" w:rsidP="00CA42FE">
      <w:pPr>
        <w:spacing w:line="360" w:lineRule="auto"/>
        <w:rPr>
          <w:rStyle w:val="description1"/>
          <w:rFonts w:ascii="Cambria" w:hAnsi="Cambria" w:cs="Times New Roman"/>
          <w:color w:val="auto"/>
          <w:sz w:val="24"/>
          <w:szCs w:val="24"/>
        </w:rPr>
      </w:pPr>
    </w:p>
    <w:p w:rsidR="008717C6" w:rsidRPr="0006731F" w:rsidRDefault="008717C6" w:rsidP="003A1B64">
      <w:pPr>
        <w:spacing w:line="360" w:lineRule="auto"/>
        <w:rPr>
          <w:b/>
          <w:bCs/>
          <w:u w:val="single"/>
        </w:rPr>
      </w:pPr>
      <w:r w:rsidRPr="0006731F">
        <w:rPr>
          <w:b/>
          <w:bCs/>
          <w:u w:val="single"/>
        </w:rPr>
        <w:t>Course requirements and grade:</w:t>
      </w:r>
    </w:p>
    <w:p w:rsidR="004E5F2D" w:rsidRPr="0006731F" w:rsidRDefault="004E5F2D" w:rsidP="00CA1C4E">
      <w:pPr>
        <w:spacing w:line="360" w:lineRule="auto"/>
      </w:pPr>
      <w:r w:rsidRPr="0006731F">
        <w:t>Students are required to read the articles and attend classes. The classes will be conducted in the format of frontal lectures</w:t>
      </w:r>
      <w:r w:rsidR="00867290" w:rsidRPr="0006731F">
        <w:t>,</w:t>
      </w:r>
      <w:r w:rsidR="00FF1E6E" w:rsidRPr="0006731F">
        <w:t xml:space="preserve"> discussions</w:t>
      </w:r>
      <w:r w:rsidR="00867290" w:rsidRPr="0006731F">
        <w:t xml:space="preserve"> and tours</w:t>
      </w:r>
      <w:r w:rsidRPr="0006731F">
        <w:t>.</w:t>
      </w:r>
      <w:r w:rsidR="00CA1C4E" w:rsidRPr="0006731F">
        <w:t xml:space="preserve"> The grade will be based on a final exam which will include multiple choice questions and short questions. The exam will take place on 2</w:t>
      </w:r>
      <w:r w:rsidR="0053521A">
        <w:t>4</w:t>
      </w:r>
      <w:r w:rsidR="00CA1C4E" w:rsidRPr="0006731F">
        <w:t>.7.2</w:t>
      </w:r>
      <w:r w:rsidR="0053521A">
        <w:t>4</w:t>
      </w:r>
      <w:r w:rsidR="00CA1C4E" w:rsidRPr="0006731F">
        <w:t>.</w:t>
      </w:r>
    </w:p>
    <w:p w:rsidR="00CA1C4E" w:rsidRPr="0006731F" w:rsidRDefault="00CA1C4E" w:rsidP="00CA1C4E">
      <w:pPr>
        <w:spacing w:line="360" w:lineRule="auto"/>
      </w:pPr>
    </w:p>
    <w:p w:rsidR="00D30621" w:rsidRPr="0006731F" w:rsidRDefault="00D30621" w:rsidP="00D30621">
      <w:pPr>
        <w:spacing w:line="360" w:lineRule="auto"/>
        <w:rPr>
          <w:b/>
          <w:bCs/>
          <w:u w:val="single"/>
        </w:rPr>
      </w:pPr>
      <w:r w:rsidRPr="0006731F">
        <w:rPr>
          <w:b/>
          <w:bCs/>
          <w:u w:val="single"/>
        </w:rPr>
        <w:t>Course Description</w:t>
      </w:r>
    </w:p>
    <w:p w:rsidR="00D30621" w:rsidRPr="0006731F" w:rsidRDefault="00D30621" w:rsidP="00D30621">
      <w:pPr>
        <w:spacing w:line="360" w:lineRule="auto"/>
      </w:pPr>
      <w:r w:rsidRPr="0006731F">
        <w:t>This course will present current academic research as well as the practical aspects</w:t>
      </w:r>
    </w:p>
    <w:p w:rsidR="00D30621" w:rsidRPr="0006731F" w:rsidRDefault="00D30621" w:rsidP="00D30621">
      <w:pPr>
        <w:spacing w:line="360" w:lineRule="auto"/>
      </w:pPr>
      <w:r w:rsidRPr="0006731F">
        <w:t xml:space="preserve">regarding the Israeli-Arab conflict, one of the most significant international conflicts of our time. Furthermore, it will provide a broad multidisciplinary perspective on Israeli society as a side to an intractable conflict. The course will additionally address the manner in which societies are influenced by their involvement in an intractable conflict, a long, unrelenting and violent conflict. Such conflicts become a major source of social identity and cohesion, a challenge to conflict resolution efforts, forcing peace makers to develop knowledge and expertise regarding the roots of the conflict. </w:t>
      </w:r>
    </w:p>
    <w:p w:rsidR="00D30621" w:rsidRDefault="00D30621" w:rsidP="00D30621">
      <w:pPr>
        <w:spacing w:line="360" w:lineRule="auto"/>
      </w:pPr>
    </w:p>
    <w:p w:rsidR="003E6737" w:rsidRPr="0006731F" w:rsidRDefault="003E6737" w:rsidP="00D30621">
      <w:pPr>
        <w:spacing w:line="360" w:lineRule="auto"/>
      </w:pPr>
    </w:p>
    <w:p w:rsidR="000746D3" w:rsidRPr="000746D3" w:rsidRDefault="000746D3" w:rsidP="000746D3">
      <w:pPr>
        <w:spacing w:line="360" w:lineRule="auto"/>
        <w:rPr>
          <w:b/>
          <w:bCs/>
          <w:u w:val="single"/>
        </w:rPr>
      </w:pPr>
      <w:r w:rsidRPr="000746D3">
        <w:rPr>
          <w:b/>
          <w:bCs/>
          <w:u w:val="single"/>
        </w:rPr>
        <w:t>Earning graduate credits for this course</w:t>
      </w:r>
    </w:p>
    <w:p w:rsidR="000746D3" w:rsidRDefault="000746D3" w:rsidP="000746D3">
      <w:pPr>
        <w:spacing w:line="360" w:lineRule="auto"/>
      </w:pPr>
      <w:r>
        <w:t>o</w:t>
      </w:r>
      <w:r>
        <w:tab/>
        <w:t xml:space="preserve">Graduate students are expected to inform the Rothberg International School at </w:t>
      </w:r>
      <w:proofErr w:type="spellStart"/>
      <w:r>
        <w:t>rissummer@</w:t>
      </w:r>
      <w:proofErr w:type="gramStart"/>
      <w:r>
        <w:t>savion,huji.ac.il</w:t>
      </w:r>
      <w:proofErr w:type="spellEnd"/>
      <w:proofErr w:type="gramEnd"/>
      <w:r>
        <w:t xml:space="preserve"> of their interest in earning graduate credits for their summer course(s).</w:t>
      </w:r>
    </w:p>
    <w:p w:rsidR="000746D3" w:rsidRDefault="000746D3" w:rsidP="000746D3">
      <w:pPr>
        <w:spacing w:line="360" w:lineRule="auto"/>
      </w:pPr>
      <w:r>
        <w:t>o</w:t>
      </w:r>
      <w:r>
        <w:tab/>
        <w:t>Graduate students must complete a 25-page, double-spaced, seminar paper with a bibliography, instead of the course's standard final assessment. The students will discuss this paper in class. The topic and bibliography for these papers must be chosen in agreement with each course instructor. Students must approach course instructors by the end of the first week of the course and arrange a time to meet and define their paper topic and bibliography.</w:t>
      </w:r>
    </w:p>
    <w:p w:rsidR="000746D3" w:rsidRDefault="000746D3" w:rsidP="000746D3">
      <w:pPr>
        <w:spacing w:line="360" w:lineRule="auto"/>
      </w:pPr>
      <w:r>
        <w:t>o</w:t>
      </w:r>
      <w:r>
        <w:tab/>
      </w:r>
      <w:proofErr w:type="gramStart"/>
      <w:r>
        <w:t>The</w:t>
      </w:r>
      <w:proofErr w:type="gramEnd"/>
      <w:r>
        <w:t xml:space="preserve"> seminar paper must make use of at least five scholarly sources (books or academic articles), in addition to Internet resources.</w:t>
      </w:r>
    </w:p>
    <w:p w:rsidR="00D30621" w:rsidRPr="0006731F" w:rsidRDefault="000746D3" w:rsidP="000746D3">
      <w:pPr>
        <w:spacing w:line="360" w:lineRule="auto"/>
      </w:pPr>
      <w:r>
        <w:t>o</w:t>
      </w:r>
      <w:r>
        <w:tab/>
      </w:r>
      <w:proofErr w:type="gramStart"/>
      <w:r>
        <w:t>The</w:t>
      </w:r>
      <w:proofErr w:type="gramEnd"/>
      <w:r>
        <w:t xml:space="preserve"> graduate seminar papers must be submitted within 2 months following the course completion.</w:t>
      </w:r>
    </w:p>
    <w:p w:rsidR="000746D3" w:rsidRDefault="000746D3" w:rsidP="00C403E0">
      <w:pPr>
        <w:spacing w:line="360" w:lineRule="auto"/>
        <w:rPr>
          <w:b/>
          <w:bCs/>
          <w:u w:val="single"/>
          <w:rtl/>
        </w:rPr>
      </w:pPr>
    </w:p>
    <w:p w:rsidR="000746D3" w:rsidRDefault="000746D3" w:rsidP="00C403E0">
      <w:pPr>
        <w:spacing w:line="360" w:lineRule="auto"/>
        <w:rPr>
          <w:b/>
          <w:bCs/>
          <w:u w:val="single"/>
        </w:rPr>
      </w:pPr>
    </w:p>
    <w:p w:rsidR="003E6737" w:rsidRDefault="003E6737" w:rsidP="00C403E0">
      <w:pPr>
        <w:spacing w:line="360" w:lineRule="auto"/>
        <w:rPr>
          <w:b/>
          <w:bCs/>
          <w:u w:val="single"/>
        </w:rPr>
      </w:pPr>
    </w:p>
    <w:p w:rsidR="003E6737" w:rsidRDefault="003E6737" w:rsidP="00C403E0">
      <w:pPr>
        <w:spacing w:line="360" w:lineRule="auto"/>
        <w:rPr>
          <w:b/>
          <w:bCs/>
          <w:u w:val="single"/>
        </w:rPr>
      </w:pPr>
    </w:p>
    <w:p w:rsidR="003E6737" w:rsidRDefault="003E6737" w:rsidP="00C403E0">
      <w:pPr>
        <w:spacing w:line="360" w:lineRule="auto"/>
        <w:rPr>
          <w:b/>
          <w:bCs/>
          <w:u w:val="single"/>
        </w:rPr>
      </w:pPr>
    </w:p>
    <w:p w:rsidR="003E6737" w:rsidRDefault="003E6737" w:rsidP="00C403E0">
      <w:pPr>
        <w:spacing w:line="360" w:lineRule="auto"/>
        <w:rPr>
          <w:b/>
          <w:bCs/>
          <w:u w:val="single"/>
        </w:rPr>
      </w:pPr>
    </w:p>
    <w:p w:rsidR="003E6737" w:rsidRDefault="003E6737" w:rsidP="00C403E0">
      <w:pPr>
        <w:spacing w:line="360" w:lineRule="auto"/>
        <w:rPr>
          <w:b/>
          <w:bCs/>
          <w:u w:val="single"/>
        </w:rPr>
      </w:pPr>
    </w:p>
    <w:p w:rsidR="003E6737" w:rsidRDefault="003E6737" w:rsidP="00C403E0">
      <w:pPr>
        <w:spacing w:line="360" w:lineRule="auto"/>
        <w:rPr>
          <w:b/>
          <w:bCs/>
          <w:u w:val="single"/>
        </w:rPr>
      </w:pPr>
    </w:p>
    <w:p w:rsidR="003E6737" w:rsidRDefault="003E6737" w:rsidP="00C403E0">
      <w:pPr>
        <w:spacing w:line="360" w:lineRule="auto"/>
        <w:rPr>
          <w:b/>
          <w:bCs/>
          <w:u w:val="single"/>
        </w:rPr>
      </w:pPr>
    </w:p>
    <w:p w:rsidR="003E6737" w:rsidRDefault="003E6737" w:rsidP="00C403E0">
      <w:pPr>
        <w:spacing w:line="360" w:lineRule="auto"/>
        <w:rPr>
          <w:b/>
          <w:bCs/>
          <w:u w:val="single"/>
        </w:rPr>
      </w:pPr>
    </w:p>
    <w:p w:rsidR="003E6737" w:rsidRDefault="003E6737" w:rsidP="00C403E0">
      <w:pPr>
        <w:spacing w:line="360" w:lineRule="auto"/>
        <w:rPr>
          <w:b/>
          <w:bCs/>
          <w:u w:val="single"/>
        </w:rPr>
      </w:pPr>
    </w:p>
    <w:p w:rsidR="003E6737" w:rsidRDefault="003E6737" w:rsidP="00C403E0">
      <w:pPr>
        <w:spacing w:line="360" w:lineRule="auto"/>
        <w:rPr>
          <w:b/>
          <w:bCs/>
          <w:u w:val="single"/>
        </w:rPr>
      </w:pPr>
    </w:p>
    <w:p w:rsidR="003E6737" w:rsidRDefault="003E6737" w:rsidP="00C403E0">
      <w:pPr>
        <w:spacing w:line="360" w:lineRule="auto"/>
        <w:rPr>
          <w:b/>
          <w:bCs/>
          <w:u w:val="single"/>
        </w:rPr>
      </w:pPr>
    </w:p>
    <w:p w:rsidR="003E6737" w:rsidRDefault="003E6737" w:rsidP="00C403E0">
      <w:pPr>
        <w:spacing w:line="360" w:lineRule="auto"/>
        <w:rPr>
          <w:b/>
          <w:bCs/>
          <w:u w:val="single"/>
        </w:rPr>
      </w:pPr>
    </w:p>
    <w:p w:rsidR="003E6737" w:rsidRDefault="003E6737" w:rsidP="00C403E0">
      <w:pPr>
        <w:spacing w:line="360" w:lineRule="auto"/>
        <w:rPr>
          <w:b/>
          <w:bCs/>
          <w:u w:val="single"/>
        </w:rPr>
      </w:pPr>
    </w:p>
    <w:p w:rsidR="003E6737" w:rsidRDefault="003E6737" w:rsidP="00C403E0">
      <w:pPr>
        <w:spacing w:line="360" w:lineRule="auto"/>
        <w:rPr>
          <w:b/>
          <w:bCs/>
          <w:u w:val="single"/>
        </w:rPr>
      </w:pPr>
    </w:p>
    <w:p w:rsidR="003E6737" w:rsidRDefault="003E6737" w:rsidP="00C403E0">
      <w:pPr>
        <w:spacing w:line="360" w:lineRule="auto"/>
        <w:rPr>
          <w:b/>
          <w:bCs/>
          <w:u w:val="single"/>
          <w:rtl/>
        </w:rPr>
      </w:pPr>
    </w:p>
    <w:p w:rsidR="008717C6" w:rsidRPr="0006731F" w:rsidRDefault="004B7B61" w:rsidP="00C403E0">
      <w:pPr>
        <w:spacing w:line="360" w:lineRule="auto"/>
        <w:rPr>
          <w:b/>
          <w:bCs/>
          <w:u w:val="single"/>
        </w:rPr>
      </w:pPr>
      <w:r w:rsidRPr="0006731F">
        <w:rPr>
          <w:b/>
          <w:bCs/>
          <w:u w:val="single"/>
        </w:rPr>
        <w:t>C</w:t>
      </w:r>
      <w:r w:rsidR="000E79F9" w:rsidRPr="0006731F">
        <w:rPr>
          <w:b/>
          <w:bCs/>
          <w:u w:val="single"/>
        </w:rPr>
        <w:t xml:space="preserve">alendar, course topics and </w:t>
      </w:r>
      <w:r w:rsidR="000E79F9" w:rsidRPr="0053521A">
        <w:rPr>
          <w:b/>
          <w:bCs/>
        </w:rPr>
        <w:t>readings</w:t>
      </w:r>
    </w:p>
    <w:p w:rsidR="00E715EF" w:rsidRPr="0006731F" w:rsidRDefault="00E715EF" w:rsidP="00E715EF">
      <w:pPr>
        <w:spacing w:line="360" w:lineRule="auto"/>
        <w:rPr>
          <w:b/>
          <w:bCs/>
        </w:rPr>
      </w:pPr>
      <w:r w:rsidRPr="0006731F">
        <w:rPr>
          <w:b/>
          <w:bCs/>
        </w:rPr>
        <w:t>Introduction: conflict research and resolution</w:t>
      </w:r>
    </w:p>
    <w:p w:rsidR="00E715EF" w:rsidRPr="0006731F" w:rsidRDefault="00E715EF" w:rsidP="00E715EF">
      <w:pPr>
        <w:spacing w:line="360" w:lineRule="auto"/>
        <w:rPr>
          <w:lang w:eastAsia="he-IL"/>
        </w:rPr>
      </w:pPr>
      <w:r w:rsidRPr="0006731F">
        <w:rPr>
          <w:lang w:eastAsia="he-IL"/>
        </w:rPr>
        <w:t xml:space="preserve">Stephan, W.G. &amp; Stephan, C.W. (1996). </w:t>
      </w:r>
      <w:r w:rsidRPr="0006731F">
        <w:rPr>
          <w:i/>
          <w:iCs/>
          <w:lang w:eastAsia="he-IL"/>
        </w:rPr>
        <w:t>Intergroup Relations</w:t>
      </w:r>
      <w:r w:rsidRPr="0006731F">
        <w:rPr>
          <w:lang w:eastAsia="he-IL"/>
        </w:rPr>
        <w:t xml:space="preserve"> (pp. 143-152). Colorado: Westview Press.</w:t>
      </w:r>
      <w:r w:rsidR="00CE4C77" w:rsidRPr="00CE4C77">
        <w:rPr>
          <w:b/>
          <w:bCs/>
          <w:lang w:eastAsia="he-IL"/>
        </w:rPr>
        <w:t xml:space="preserve"> </w:t>
      </w:r>
      <w:r w:rsidR="00CE4C77">
        <w:rPr>
          <w:b/>
          <w:bCs/>
          <w:lang w:eastAsia="he-IL"/>
        </w:rPr>
        <w:t xml:space="preserve">Main library </w:t>
      </w:r>
      <w:r w:rsidR="00CE4C77" w:rsidRPr="00545555">
        <w:rPr>
          <w:b/>
          <w:bCs/>
          <w:lang w:eastAsia="he-IL"/>
        </w:rPr>
        <w:t>HM 131 S8155</w:t>
      </w:r>
      <w:r w:rsidR="00CE4C77">
        <w:rPr>
          <w:b/>
          <w:bCs/>
          <w:lang w:eastAsia="he-IL"/>
        </w:rPr>
        <w:t xml:space="preserve">; </w:t>
      </w:r>
      <w:proofErr w:type="spellStart"/>
      <w:r w:rsidR="00CE4C77" w:rsidRPr="00897344">
        <w:rPr>
          <w:b/>
          <w:bCs/>
          <w:lang w:eastAsia="he-IL"/>
        </w:rPr>
        <w:t>Ereserve</w:t>
      </w:r>
      <w:proofErr w:type="spellEnd"/>
    </w:p>
    <w:p w:rsidR="009D42BA" w:rsidRPr="00CE4C77" w:rsidRDefault="00E715EF" w:rsidP="00CE4C77">
      <w:pPr>
        <w:spacing w:line="360" w:lineRule="auto"/>
        <w:rPr>
          <w:b/>
          <w:bCs/>
        </w:rPr>
      </w:pPr>
      <w:proofErr w:type="spellStart"/>
      <w:r w:rsidRPr="0006731F">
        <w:t>Kriesberg</w:t>
      </w:r>
      <w:proofErr w:type="spellEnd"/>
      <w:r w:rsidRPr="0006731F">
        <w:t xml:space="preserve">, L. (2003). </w:t>
      </w:r>
      <w:r w:rsidRPr="0006731F">
        <w:rPr>
          <w:i/>
          <w:iCs/>
        </w:rPr>
        <w:t>Constructive Conflicts: From Escalation to Resolution</w:t>
      </w:r>
      <w:r w:rsidRPr="0006731F">
        <w:t xml:space="preserve"> (Second Edition) (pp. 1-27). Lanham: Rowman &amp; Littlefield.</w:t>
      </w:r>
      <w:r w:rsidR="00CE4C77" w:rsidRPr="00CE4C77">
        <w:rPr>
          <w:b/>
          <w:bCs/>
        </w:rPr>
        <w:t xml:space="preserve"> </w:t>
      </w:r>
      <w:r w:rsidR="00CE4C77">
        <w:rPr>
          <w:b/>
          <w:bCs/>
        </w:rPr>
        <w:t xml:space="preserve">Main library </w:t>
      </w:r>
      <w:r w:rsidR="00CE4C77" w:rsidRPr="00545555">
        <w:rPr>
          <w:b/>
          <w:bCs/>
        </w:rPr>
        <w:t>HM 136 K757</w:t>
      </w:r>
      <w:r w:rsidR="00CE4C77">
        <w:rPr>
          <w:b/>
          <w:bCs/>
        </w:rPr>
        <w:t xml:space="preserve">; </w:t>
      </w:r>
      <w:proofErr w:type="spellStart"/>
      <w:r w:rsidR="00CE4C77">
        <w:rPr>
          <w:b/>
          <w:bCs/>
        </w:rPr>
        <w:t>Ereserve</w:t>
      </w:r>
      <w:proofErr w:type="spellEnd"/>
    </w:p>
    <w:p w:rsidR="00F662EB" w:rsidRPr="0006731F" w:rsidRDefault="00F662EB" w:rsidP="00F662EB">
      <w:pPr>
        <w:spacing w:line="360" w:lineRule="auto"/>
        <w:rPr>
          <w:b/>
          <w:bCs/>
        </w:rPr>
      </w:pPr>
    </w:p>
    <w:p w:rsidR="00E715EF" w:rsidRPr="0006731F" w:rsidRDefault="00E715EF" w:rsidP="00E715EF">
      <w:pPr>
        <w:spacing w:line="360" w:lineRule="auto"/>
        <w:rPr>
          <w:b/>
          <w:bCs/>
        </w:rPr>
      </w:pPr>
      <w:r w:rsidRPr="0006731F">
        <w:rPr>
          <w:b/>
          <w:bCs/>
        </w:rPr>
        <w:t>The Israeli-Arab conflict: Zionism, Israel’s independence and the Palestinian Nakba</w:t>
      </w:r>
    </w:p>
    <w:p w:rsidR="00E715EF" w:rsidRPr="0006731F" w:rsidRDefault="00E715EF" w:rsidP="00E715EF">
      <w:pPr>
        <w:spacing w:line="360" w:lineRule="auto"/>
      </w:pPr>
      <w:r w:rsidRPr="0006731F">
        <w:t xml:space="preserve">Bar-Tal, D. (2013). </w:t>
      </w:r>
      <w:r w:rsidRPr="0006731F">
        <w:rPr>
          <w:i/>
          <w:iCs/>
        </w:rPr>
        <w:t>Intractable Conflicts: Socio-Psychological Foundations and Dynamics</w:t>
      </w:r>
      <w:r w:rsidRPr="0006731F">
        <w:t xml:space="preserve"> (pp. 174-212). Cambridge: Cambridge University Press.</w:t>
      </w:r>
      <w:r w:rsidR="00CE4C77">
        <w:rPr>
          <w:rFonts w:hint="cs"/>
          <w:rtl/>
        </w:rPr>
        <w:t xml:space="preserve"> </w:t>
      </w:r>
      <w:r w:rsidR="00CE4C77">
        <w:rPr>
          <w:b/>
          <w:bCs/>
        </w:rPr>
        <w:t xml:space="preserve">Main library </w:t>
      </w:r>
      <w:r w:rsidR="00CE4C77" w:rsidRPr="00AB617B">
        <w:rPr>
          <w:b/>
          <w:bCs/>
        </w:rPr>
        <w:t>HM 1126 B368 2013</w:t>
      </w:r>
      <w:r w:rsidR="00CE4C77">
        <w:rPr>
          <w:b/>
          <w:bCs/>
        </w:rPr>
        <w:t xml:space="preserve">; </w:t>
      </w:r>
      <w:proofErr w:type="spellStart"/>
      <w:r w:rsidR="00CE4C77">
        <w:rPr>
          <w:b/>
          <w:bCs/>
        </w:rPr>
        <w:t>Ebook</w:t>
      </w:r>
      <w:proofErr w:type="spellEnd"/>
    </w:p>
    <w:p w:rsidR="00D537D2" w:rsidRPr="0006731F" w:rsidRDefault="00D537D2" w:rsidP="00C403E0">
      <w:pPr>
        <w:spacing w:line="360" w:lineRule="auto"/>
        <w:rPr>
          <w:b/>
          <w:bCs/>
        </w:rPr>
      </w:pPr>
    </w:p>
    <w:p w:rsidR="00E715EF" w:rsidRPr="0006731F" w:rsidRDefault="00E715EF" w:rsidP="00E715EF">
      <w:pPr>
        <w:spacing w:line="360" w:lineRule="auto"/>
        <w:rPr>
          <w:b/>
          <w:bCs/>
        </w:rPr>
      </w:pPr>
      <w:r w:rsidRPr="0006731F">
        <w:rPr>
          <w:b/>
          <w:bCs/>
        </w:rPr>
        <w:t>Conflict management, deterrence and the role of third parties</w:t>
      </w:r>
    </w:p>
    <w:p w:rsidR="00E715EF" w:rsidRPr="0006731F" w:rsidRDefault="00E715EF" w:rsidP="00CE4C77">
      <w:pPr>
        <w:spacing w:line="360" w:lineRule="auto"/>
      </w:pPr>
      <w:r w:rsidRPr="0006731F">
        <w:t xml:space="preserve">Lund, M.S. (2009). Conflict prevention: theory in pursuit of policy and practice. In: J. </w:t>
      </w:r>
      <w:proofErr w:type="spellStart"/>
      <w:r w:rsidRPr="0006731F">
        <w:t>Bercovitch</w:t>
      </w:r>
      <w:proofErr w:type="spellEnd"/>
      <w:r w:rsidRPr="0006731F">
        <w:t xml:space="preserve">, V. </w:t>
      </w:r>
      <w:proofErr w:type="spellStart"/>
      <w:r w:rsidRPr="0006731F">
        <w:t>Kremenyuk</w:t>
      </w:r>
      <w:proofErr w:type="spellEnd"/>
      <w:r w:rsidRPr="0006731F">
        <w:t xml:space="preserve">, &amp; W.I. </w:t>
      </w:r>
      <w:proofErr w:type="spellStart"/>
      <w:r w:rsidRPr="0006731F">
        <w:t>Zartman</w:t>
      </w:r>
      <w:proofErr w:type="spellEnd"/>
      <w:r w:rsidRPr="0006731F">
        <w:t xml:space="preserve"> (Eds.), </w:t>
      </w:r>
      <w:r w:rsidRPr="0006731F">
        <w:rPr>
          <w:i/>
          <w:iCs/>
        </w:rPr>
        <w:t>The Sage Handbook of Conflict Resolution</w:t>
      </w:r>
      <w:r w:rsidRPr="0006731F">
        <w:t xml:space="preserve"> (pp. 287-321). London: Sage Publication.</w:t>
      </w:r>
      <w:r w:rsidR="00CE4C77" w:rsidRPr="00CE4C77">
        <w:t xml:space="preserve"> </w:t>
      </w:r>
      <w:r w:rsidR="00CE4C77">
        <w:rPr>
          <w:b/>
          <w:bCs/>
        </w:rPr>
        <w:t xml:space="preserve">Overseas library </w:t>
      </w:r>
      <w:r w:rsidR="00CE4C77" w:rsidRPr="00AB617B">
        <w:rPr>
          <w:b/>
          <w:bCs/>
        </w:rPr>
        <w:t>341.52 B486</w:t>
      </w:r>
      <w:r w:rsidR="00CE4C77">
        <w:rPr>
          <w:b/>
          <w:bCs/>
        </w:rPr>
        <w:t xml:space="preserve">; </w:t>
      </w:r>
      <w:proofErr w:type="spellStart"/>
      <w:r w:rsidR="00CE4C77" w:rsidRPr="00D32083">
        <w:rPr>
          <w:b/>
          <w:bCs/>
        </w:rPr>
        <w:t>Ereserve</w:t>
      </w:r>
      <w:proofErr w:type="spellEnd"/>
      <w:r w:rsidR="00CE4C77">
        <w:rPr>
          <w:b/>
          <w:bCs/>
        </w:rPr>
        <w:t xml:space="preserve"> </w:t>
      </w:r>
      <w:r w:rsidR="00CE4C77" w:rsidRPr="00AB617B">
        <w:rPr>
          <w:b/>
          <w:bCs/>
        </w:rPr>
        <w:t xml:space="preserve">  </w:t>
      </w:r>
    </w:p>
    <w:p w:rsidR="00CE4C77" w:rsidRPr="00AB617B" w:rsidRDefault="00E715EF" w:rsidP="00CE4C77">
      <w:pPr>
        <w:spacing w:line="360" w:lineRule="auto"/>
        <w:rPr>
          <w:b/>
          <w:bCs/>
        </w:rPr>
      </w:pPr>
      <w:proofErr w:type="spellStart"/>
      <w:r w:rsidRPr="0006731F">
        <w:t>Zartman</w:t>
      </w:r>
      <w:proofErr w:type="spellEnd"/>
      <w:r w:rsidRPr="0006731F">
        <w:t xml:space="preserve">, W. I., &amp; </w:t>
      </w:r>
      <w:proofErr w:type="spellStart"/>
      <w:r w:rsidRPr="0006731F">
        <w:t>Touval</w:t>
      </w:r>
      <w:proofErr w:type="spellEnd"/>
      <w:r w:rsidRPr="0006731F">
        <w:t xml:space="preserve">, S. (1996). International mediation in the post-Cold War era. In: C. Crocker, F., Hampson, &amp; P. </w:t>
      </w:r>
      <w:proofErr w:type="spellStart"/>
      <w:r w:rsidRPr="0006731F">
        <w:t>Aall</w:t>
      </w:r>
      <w:proofErr w:type="spellEnd"/>
      <w:r w:rsidRPr="0006731F">
        <w:t xml:space="preserve"> (Eds.), Managing Global Chaos (pp. 445-461). Washington, D.C.: United States Institute of Peace Press.</w:t>
      </w:r>
      <w:r w:rsidR="00CE4C77">
        <w:rPr>
          <w:rFonts w:hint="cs"/>
          <w:rtl/>
        </w:rPr>
        <w:t xml:space="preserve"> </w:t>
      </w:r>
      <w:r w:rsidR="00CE4C77">
        <w:rPr>
          <w:b/>
          <w:bCs/>
        </w:rPr>
        <w:t xml:space="preserve">Main library </w:t>
      </w:r>
      <w:r w:rsidR="00CE4C77" w:rsidRPr="00AB617B">
        <w:rPr>
          <w:b/>
          <w:bCs/>
        </w:rPr>
        <w:t>JX 4473 M35</w:t>
      </w:r>
      <w:r w:rsidR="00CE4C77">
        <w:rPr>
          <w:b/>
          <w:bCs/>
        </w:rPr>
        <w:t xml:space="preserve">; </w:t>
      </w:r>
      <w:proofErr w:type="spellStart"/>
      <w:r w:rsidR="00CE4C77">
        <w:rPr>
          <w:b/>
          <w:bCs/>
        </w:rPr>
        <w:t>Ereserve</w:t>
      </w:r>
      <w:proofErr w:type="spellEnd"/>
      <w:r w:rsidR="00CE4C77">
        <w:rPr>
          <w:b/>
          <w:bCs/>
        </w:rPr>
        <w:t xml:space="preserve"> </w:t>
      </w:r>
    </w:p>
    <w:p w:rsidR="003E6737" w:rsidRDefault="003E6737" w:rsidP="00E715EF">
      <w:pPr>
        <w:spacing w:line="360" w:lineRule="auto"/>
        <w:rPr>
          <w:b/>
          <w:bCs/>
        </w:rPr>
      </w:pPr>
    </w:p>
    <w:p w:rsidR="003E6737" w:rsidRDefault="003E6737" w:rsidP="00E715EF">
      <w:pPr>
        <w:spacing w:line="360" w:lineRule="auto"/>
        <w:rPr>
          <w:b/>
          <w:bCs/>
        </w:rPr>
      </w:pPr>
    </w:p>
    <w:p w:rsidR="003E6737" w:rsidRDefault="003E6737" w:rsidP="00E715EF">
      <w:pPr>
        <w:spacing w:line="360" w:lineRule="auto"/>
        <w:rPr>
          <w:b/>
          <w:bCs/>
        </w:rPr>
      </w:pPr>
    </w:p>
    <w:p w:rsidR="003E6737" w:rsidRDefault="003E6737" w:rsidP="00E715EF">
      <w:pPr>
        <w:spacing w:line="360" w:lineRule="auto"/>
        <w:rPr>
          <w:b/>
          <w:bCs/>
        </w:rPr>
      </w:pPr>
    </w:p>
    <w:p w:rsidR="003E6737" w:rsidRDefault="003E6737" w:rsidP="00E715EF">
      <w:pPr>
        <w:spacing w:line="360" w:lineRule="auto"/>
        <w:rPr>
          <w:b/>
          <w:bCs/>
        </w:rPr>
      </w:pPr>
    </w:p>
    <w:p w:rsidR="003E6737" w:rsidRDefault="003E6737" w:rsidP="00E715EF">
      <w:pPr>
        <w:spacing w:line="360" w:lineRule="auto"/>
        <w:rPr>
          <w:b/>
          <w:bCs/>
        </w:rPr>
      </w:pPr>
    </w:p>
    <w:p w:rsidR="003E6737" w:rsidRDefault="003E6737" w:rsidP="00E715EF">
      <w:pPr>
        <w:spacing w:line="360" w:lineRule="auto"/>
        <w:rPr>
          <w:b/>
          <w:bCs/>
        </w:rPr>
      </w:pPr>
    </w:p>
    <w:p w:rsidR="00E715EF" w:rsidRPr="0006731F" w:rsidRDefault="00E715EF" w:rsidP="00E715EF">
      <w:pPr>
        <w:spacing w:line="360" w:lineRule="auto"/>
      </w:pPr>
      <w:r w:rsidRPr="0006731F">
        <w:rPr>
          <w:b/>
          <w:bCs/>
        </w:rPr>
        <w:lastRenderedPageBreak/>
        <w:t>From Old Wars to New Wars, Israel’s changing borders and security challenges</w:t>
      </w:r>
    </w:p>
    <w:p w:rsidR="00E715EF" w:rsidRPr="00CE4C77" w:rsidRDefault="00E715EF" w:rsidP="00CE4C77">
      <w:pPr>
        <w:spacing w:line="360" w:lineRule="auto"/>
        <w:rPr>
          <w:b/>
          <w:bCs/>
        </w:rPr>
      </w:pPr>
      <w:r w:rsidRPr="0006731F">
        <w:t>Ben Eliezer, U. (2012). Old Conflict, New War. Palgrave Macmillan: USA. Pp. 7-26.</w:t>
      </w:r>
      <w:r w:rsidR="00CE4C77">
        <w:rPr>
          <w:rFonts w:hint="cs"/>
          <w:rtl/>
        </w:rPr>
        <w:t xml:space="preserve"> </w:t>
      </w:r>
      <w:r w:rsidR="00CE4C77" w:rsidRPr="00F34DCA">
        <w:rPr>
          <w:b/>
          <w:bCs/>
        </w:rPr>
        <w:t xml:space="preserve">Main Library DS 119.76 B454 2012; </w:t>
      </w:r>
      <w:proofErr w:type="spellStart"/>
      <w:r w:rsidR="00CE4C77" w:rsidRPr="00435998">
        <w:rPr>
          <w:b/>
          <w:bCs/>
        </w:rPr>
        <w:t>Ereserve</w:t>
      </w:r>
      <w:proofErr w:type="spellEnd"/>
      <w:r w:rsidR="00CE4C77" w:rsidRPr="00F34DCA">
        <w:rPr>
          <w:b/>
          <w:bCs/>
        </w:rPr>
        <w:t xml:space="preserve">  </w:t>
      </w:r>
    </w:p>
    <w:p w:rsidR="00E715EF" w:rsidRPr="0006731F" w:rsidRDefault="00E715EF" w:rsidP="00E715EF">
      <w:pPr>
        <w:spacing w:line="360" w:lineRule="auto"/>
      </w:pPr>
      <w:r w:rsidRPr="0006731F">
        <w:t>Benziman, Y. (2018). New Wars rational Old War expectations. Peace and Conflict: Journal of Peace Psychology, 23(4): 441-443.</w:t>
      </w:r>
      <w:r w:rsidR="00CE4C77">
        <w:rPr>
          <w:rFonts w:hint="cs"/>
          <w:rtl/>
        </w:rPr>
        <w:t xml:space="preserve"> </w:t>
      </w:r>
      <w:proofErr w:type="spellStart"/>
      <w:r w:rsidR="00CE4C77">
        <w:rPr>
          <w:b/>
          <w:bCs/>
        </w:rPr>
        <w:t>Ejournal</w:t>
      </w:r>
      <w:proofErr w:type="spellEnd"/>
    </w:p>
    <w:p w:rsidR="00812384" w:rsidRPr="0006731F" w:rsidRDefault="00812384" w:rsidP="00C403E0">
      <w:pPr>
        <w:spacing w:line="360" w:lineRule="auto"/>
      </w:pPr>
    </w:p>
    <w:p w:rsidR="003E6737" w:rsidRDefault="00D537D2" w:rsidP="00E715EF">
      <w:pPr>
        <w:spacing w:line="360" w:lineRule="auto"/>
        <w:rPr>
          <w:b/>
          <w:bCs/>
        </w:rPr>
      </w:pPr>
      <w:r w:rsidRPr="00D537D2">
        <w:rPr>
          <w:b/>
          <w:bCs/>
        </w:rPr>
        <w:t xml:space="preserve">Full day field </w:t>
      </w:r>
      <w:proofErr w:type="gramStart"/>
      <w:r w:rsidRPr="00D537D2">
        <w:rPr>
          <w:b/>
          <w:bCs/>
        </w:rPr>
        <w:t>trip</w:t>
      </w:r>
      <w:r w:rsidR="00360772">
        <w:rPr>
          <w:b/>
          <w:bCs/>
        </w:rPr>
        <w:t xml:space="preserve"> </w:t>
      </w:r>
      <w:r w:rsidR="0053521A">
        <w:rPr>
          <w:b/>
          <w:bCs/>
        </w:rPr>
        <w:t>:</w:t>
      </w:r>
      <w:r w:rsidR="003E6737">
        <w:rPr>
          <w:b/>
          <w:bCs/>
        </w:rPr>
        <w:t>The</w:t>
      </w:r>
      <w:proofErr w:type="gramEnd"/>
      <w:r w:rsidR="003E6737">
        <w:rPr>
          <w:b/>
          <w:bCs/>
        </w:rPr>
        <w:t xml:space="preserve"> West Bank </w:t>
      </w:r>
    </w:p>
    <w:p w:rsidR="00D537D2" w:rsidRDefault="00D537D2" w:rsidP="00E715EF">
      <w:pPr>
        <w:spacing w:line="360" w:lineRule="auto"/>
        <w:rPr>
          <w:b/>
          <w:bCs/>
        </w:rPr>
      </w:pPr>
    </w:p>
    <w:p w:rsidR="00E715EF" w:rsidRPr="0006731F" w:rsidRDefault="00E715EF" w:rsidP="00E715EF">
      <w:pPr>
        <w:spacing w:line="360" w:lineRule="auto"/>
        <w:rPr>
          <w:b/>
          <w:bCs/>
        </w:rPr>
      </w:pPr>
      <w:r w:rsidRPr="0006731F">
        <w:rPr>
          <w:b/>
          <w:bCs/>
        </w:rPr>
        <w:t xml:space="preserve">Ripeness, negotiations and barriers to conflict resolution </w:t>
      </w:r>
    </w:p>
    <w:p w:rsidR="00E715EF" w:rsidRPr="0006731F" w:rsidRDefault="00E715EF" w:rsidP="00E715EF">
      <w:pPr>
        <w:spacing w:line="360" w:lineRule="auto"/>
      </w:pPr>
      <w:r w:rsidRPr="0006731F">
        <w:t xml:space="preserve">Kahneman, D., &amp; Tversky, A. (1995). Conflict resolution: a cognitive perspective. In: K. Arrow, et al. (Eds.), </w:t>
      </w:r>
      <w:r w:rsidRPr="0006731F">
        <w:rPr>
          <w:i/>
          <w:iCs/>
        </w:rPr>
        <w:t>Barriers to Conflict Resolution</w:t>
      </w:r>
      <w:r w:rsidRPr="0006731F">
        <w:t xml:space="preserve"> (pp. 44-60). New York: Norton.</w:t>
      </w:r>
    </w:p>
    <w:p w:rsidR="00E715EF" w:rsidRPr="0006731F" w:rsidRDefault="00E715EF" w:rsidP="00E715EF">
      <w:pPr>
        <w:spacing w:line="360" w:lineRule="auto"/>
      </w:pPr>
      <w:r w:rsidRPr="0006731F">
        <w:t xml:space="preserve">Mnookin, R. H., &amp; Ross, L. (1995). Introduction. In: K. Arrow, et.al. (Eds.), </w:t>
      </w:r>
      <w:r w:rsidRPr="0006731F">
        <w:rPr>
          <w:i/>
          <w:iCs/>
        </w:rPr>
        <w:t>Barriers to Conflict Resolution</w:t>
      </w:r>
      <w:r w:rsidRPr="0006731F">
        <w:t xml:space="preserve"> (pp. 2-24). New York: Norton.</w:t>
      </w:r>
      <w:r w:rsidR="00CE4C77">
        <w:rPr>
          <w:rFonts w:hint="cs"/>
          <w:rtl/>
        </w:rPr>
        <w:t xml:space="preserve"> </w:t>
      </w:r>
      <w:r w:rsidR="00CE4C77">
        <w:rPr>
          <w:b/>
          <w:bCs/>
        </w:rPr>
        <w:t xml:space="preserve">Main library </w:t>
      </w:r>
      <w:r w:rsidR="00CE4C77" w:rsidRPr="0020301A">
        <w:rPr>
          <w:b/>
          <w:bCs/>
        </w:rPr>
        <w:t>HD 42 B295</w:t>
      </w:r>
      <w:r w:rsidR="00CE4C77">
        <w:rPr>
          <w:b/>
          <w:bCs/>
        </w:rPr>
        <w:t xml:space="preserve">; </w:t>
      </w:r>
      <w:proofErr w:type="spellStart"/>
      <w:r w:rsidR="00CE4C77" w:rsidRPr="00897344">
        <w:rPr>
          <w:b/>
          <w:bCs/>
        </w:rPr>
        <w:t>Ereserve</w:t>
      </w:r>
      <w:proofErr w:type="spellEnd"/>
    </w:p>
    <w:p w:rsidR="00E715EF" w:rsidRPr="0006731F" w:rsidRDefault="00E715EF" w:rsidP="00CE4C77">
      <w:pPr>
        <w:spacing w:line="360" w:lineRule="auto"/>
      </w:pPr>
      <w:r w:rsidRPr="0006731F">
        <w:t xml:space="preserve">Pruitt, D. G. (2011). Negotiation and mediation in intergroup conflict. In: Bar-Tal, D. (Ed.) </w:t>
      </w:r>
      <w:r w:rsidRPr="0006731F">
        <w:rPr>
          <w:i/>
          <w:iCs/>
        </w:rPr>
        <w:t>Intergroup Conflicts and their Resolution</w:t>
      </w:r>
      <w:r w:rsidRPr="0006731F">
        <w:t xml:space="preserve"> (pp. 267-289). New York and London: Psychology Press Taylor &amp; Francis Group.</w:t>
      </w:r>
      <w:r w:rsidR="00CE4C77">
        <w:rPr>
          <w:rFonts w:hint="cs"/>
          <w:rtl/>
        </w:rPr>
        <w:t xml:space="preserve">  </w:t>
      </w:r>
      <w:r w:rsidR="00CE4C77">
        <w:rPr>
          <w:b/>
          <w:bCs/>
        </w:rPr>
        <w:t xml:space="preserve">Overseas library </w:t>
      </w:r>
      <w:r w:rsidR="00CE4C77" w:rsidRPr="002607E8">
        <w:rPr>
          <w:b/>
          <w:bCs/>
        </w:rPr>
        <w:t>303.6 B223</w:t>
      </w:r>
      <w:r w:rsidR="00CE4C77">
        <w:rPr>
          <w:b/>
          <w:bCs/>
        </w:rPr>
        <w:t xml:space="preserve">; </w:t>
      </w:r>
      <w:proofErr w:type="spellStart"/>
      <w:r w:rsidR="00CE4C77" w:rsidRPr="0025036A">
        <w:rPr>
          <w:b/>
          <w:bCs/>
        </w:rPr>
        <w:t>Ereserve</w:t>
      </w:r>
      <w:proofErr w:type="spellEnd"/>
    </w:p>
    <w:p w:rsidR="00E715EF" w:rsidRPr="0006731F" w:rsidRDefault="00E715EF" w:rsidP="00EA2559">
      <w:pPr>
        <w:spacing w:line="360" w:lineRule="auto"/>
      </w:pPr>
      <w:proofErr w:type="spellStart"/>
      <w:r w:rsidRPr="0006731F">
        <w:t>Bercovitch</w:t>
      </w:r>
      <w:proofErr w:type="spellEnd"/>
      <w:r w:rsidRPr="0006731F">
        <w:t xml:space="preserve">, J. (2009). Mediation and conflict resolution. In: J. </w:t>
      </w:r>
      <w:proofErr w:type="spellStart"/>
      <w:r w:rsidRPr="0006731F">
        <w:t>Bercovitch</w:t>
      </w:r>
      <w:proofErr w:type="spellEnd"/>
      <w:r w:rsidRPr="0006731F">
        <w:t xml:space="preserve">, V. </w:t>
      </w:r>
      <w:proofErr w:type="spellStart"/>
      <w:r w:rsidRPr="0006731F">
        <w:t>Kremenyuk</w:t>
      </w:r>
      <w:proofErr w:type="spellEnd"/>
      <w:r w:rsidRPr="0006731F">
        <w:t xml:space="preserve">, &amp; W. I. </w:t>
      </w:r>
      <w:proofErr w:type="spellStart"/>
      <w:r w:rsidRPr="0006731F">
        <w:t>Zartman</w:t>
      </w:r>
      <w:proofErr w:type="spellEnd"/>
      <w:r w:rsidRPr="0006731F">
        <w:t xml:space="preserve">, (Eds.), </w:t>
      </w:r>
      <w:r w:rsidRPr="0006731F">
        <w:rPr>
          <w:i/>
          <w:iCs/>
        </w:rPr>
        <w:t>The Sage Handbook of Conflict Resolution</w:t>
      </w:r>
      <w:r w:rsidRPr="0006731F">
        <w:t xml:space="preserve"> (pp. 340-357), London: Sage Publication.</w:t>
      </w:r>
      <w:r w:rsidR="00EA2559">
        <w:rPr>
          <w:rFonts w:hint="cs"/>
          <w:rtl/>
        </w:rPr>
        <w:t xml:space="preserve"> </w:t>
      </w:r>
      <w:r w:rsidR="00EA2559">
        <w:rPr>
          <w:b/>
          <w:bCs/>
        </w:rPr>
        <w:t xml:space="preserve">Overseas library </w:t>
      </w:r>
      <w:r w:rsidR="00EA2559" w:rsidRPr="00AB617B">
        <w:rPr>
          <w:b/>
          <w:bCs/>
        </w:rPr>
        <w:t>341.52 B486</w:t>
      </w:r>
      <w:r w:rsidR="00EA2559">
        <w:rPr>
          <w:b/>
          <w:bCs/>
        </w:rPr>
        <w:t xml:space="preserve">; </w:t>
      </w:r>
      <w:proofErr w:type="spellStart"/>
      <w:r w:rsidR="00EA2559" w:rsidRPr="00612601">
        <w:rPr>
          <w:b/>
          <w:bCs/>
        </w:rPr>
        <w:t>Ereserve</w:t>
      </w:r>
      <w:proofErr w:type="spellEnd"/>
    </w:p>
    <w:p w:rsidR="003E6737" w:rsidRPr="0006731F" w:rsidRDefault="003E6737" w:rsidP="00372610">
      <w:pPr>
        <w:spacing w:line="360" w:lineRule="auto"/>
        <w:rPr>
          <w:b/>
          <w:bCs/>
        </w:rPr>
      </w:pPr>
    </w:p>
    <w:p w:rsidR="003830B5" w:rsidRPr="0006731F" w:rsidRDefault="003830B5" w:rsidP="003830B5">
      <w:pPr>
        <w:spacing w:line="360" w:lineRule="auto"/>
        <w:rPr>
          <w:b/>
          <w:bCs/>
        </w:rPr>
      </w:pPr>
      <w:r w:rsidRPr="0006731F">
        <w:rPr>
          <w:b/>
          <w:bCs/>
        </w:rPr>
        <w:t>Peace agreements, failed negotiations and unilateralism: the core issues of the conflict</w:t>
      </w:r>
    </w:p>
    <w:p w:rsidR="003830B5" w:rsidRPr="0006731F" w:rsidRDefault="003830B5" w:rsidP="003830B5">
      <w:pPr>
        <w:spacing w:line="360" w:lineRule="auto"/>
        <w:rPr>
          <w:b/>
          <w:bCs/>
        </w:rPr>
      </w:pPr>
      <w:r w:rsidRPr="0006731F">
        <w:t>Bar-</w:t>
      </w:r>
      <w:proofErr w:type="spellStart"/>
      <w:r w:rsidRPr="0006731F">
        <w:t>Siman</w:t>
      </w:r>
      <w:proofErr w:type="spellEnd"/>
      <w:r w:rsidRPr="0006731F">
        <w:t>-Tov, Y., &amp; Michael, K. (2007). The Israeli Disengagement Plan as a Conflict Management Strategy. In: Bar-</w:t>
      </w:r>
      <w:proofErr w:type="spellStart"/>
      <w:r w:rsidRPr="0006731F">
        <w:t>Siman</w:t>
      </w:r>
      <w:proofErr w:type="spellEnd"/>
      <w:r w:rsidRPr="0006731F">
        <w:t xml:space="preserve">-Tov, Y. (Ed.), </w:t>
      </w:r>
      <w:r w:rsidRPr="0006731F">
        <w:rPr>
          <w:i/>
          <w:iCs/>
        </w:rPr>
        <w:t>The Israeli-Palestinian conflict: From conflict resolution to conflict management</w:t>
      </w:r>
      <w:r w:rsidRPr="0006731F">
        <w:t xml:space="preserve"> (pp.261-282). New York: Palgrave Macmillan.</w:t>
      </w:r>
      <w:r w:rsidR="00EA2559">
        <w:rPr>
          <w:rFonts w:hint="cs"/>
          <w:rtl/>
        </w:rPr>
        <w:t xml:space="preserve"> </w:t>
      </w:r>
      <w:r w:rsidR="00EA2559">
        <w:rPr>
          <w:b/>
          <w:bCs/>
        </w:rPr>
        <w:t xml:space="preserve">Overseas library </w:t>
      </w:r>
      <w:r w:rsidR="00EA2559" w:rsidRPr="00353A77">
        <w:rPr>
          <w:b/>
          <w:bCs/>
        </w:rPr>
        <w:t>E327.56(08) B223</w:t>
      </w:r>
      <w:r w:rsidR="00EA2559">
        <w:rPr>
          <w:b/>
          <w:bCs/>
        </w:rPr>
        <w:t xml:space="preserve">; </w:t>
      </w:r>
      <w:proofErr w:type="spellStart"/>
      <w:r w:rsidR="00EA2559">
        <w:rPr>
          <w:b/>
          <w:bCs/>
        </w:rPr>
        <w:t>Ebook</w:t>
      </w:r>
      <w:proofErr w:type="spellEnd"/>
    </w:p>
    <w:p w:rsidR="003830B5" w:rsidRPr="0006731F" w:rsidRDefault="003830B5" w:rsidP="003830B5">
      <w:pPr>
        <w:spacing w:line="360" w:lineRule="auto"/>
      </w:pPr>
      <w:r w:rsidRPr="0006731F">
        <w:t xml:space="preserve">Benziman, Y. (2021). Negotiating with a So-Called 'Non-Partner': Lessons from Palestinian-Israeli Negotiation Practices (2000-2020), </w:t>
      </w:r>
      <w:r w:rsidRPr="0006731F">
        <w:rPr>
          <w:i/>
          <w:iCs/>
        </w:rPr>
        <w:t>International Negotiation: A Journal of Theory and Practice</w:t>
      </w:r>
      <w:r w:rsidRPr="0006731F">
        <w:t xml:space="preserve"> 26(3): 479-498.</w:t>
      </w:r>
      <w:r w:rsidR="00EA2559">
        <w:rPr>
          <w:rFonts w:hint="cs"/>
          <w:rtl/>
        </w:rPr>
        <w:t xml:space="preserve"> </w:t>
      </w:r>
      <w:proofErr w:type="spellStart"/>
      <w:r w:rsidR="00EA2559">
        <w:rPr>
          <w:b/>
          <w:bCs/>
        </w:rPr>
        <w:t>Ejournal</w:t>
      </w:r>
      <w:proofErr w:type="spellEnd"/>
    </w:p>
    <w:p w:rsidR="00CA1C4E" w:rsidRPr="0006731F" w:rsidRDefault="00CA1C4E" w:rsidP="00596F5F">
      <w:pPr>
        <w:spacing w:line="360" w:lineRule="auto"/>
        <w:rPr>
          <w:rFonts w:eastAsia="AdvTimes"/>
        </w:rPr>
      </w:pPr>
    </w:p>
    <w:p w:rsidR="003830B5" w:rsidRPr="0006731F" w:rsidRDefault="003E6737" w:rsidP="00EE3ED9">
      <w:pPr>
        <w:spacing w:line="360" w:lineRule="auto"/>
        <w:rPr>
          <w:b/>
          <w:bCs/>
        </w:rPr>
      </w:pPr>
      <w:r>
        <w:rPr>
          <w:b/>
          <w:bCs/>
        </w:rPr>
        <w:t xml:space="preserve">Field trip: Old City of </w:t>
      </w:r>
      <w:r w:rsidRPr="003E6737">
        <w:rPr>
          <w:b/>
          <w:bCs/>
        </w:rPr>
        <w:t>Jerusalem</w:t>
      </w:r>
    </w:p>
    <w:p w:rsidR="00E96AB4" w:rsidRPr="0006731F" w:rsidRDefault="00E96AB4" w:rsidP="00372610">
      <w:pPr>
        <w:spacing w:line="360" w:lineRule="auto"/>
        <w:rPr>
          <w:b/>
          <w:bCs/>
        </w:rPr>
      </w:pPr>
    </w:p>
    <w:p w:rsidR="003E6737" w:rsidRPr="0006731F" w:rsidRDefault="003E6737" w:rsidP="003E6737">
      <w:pPr>
        <w:spacing w:line="360" w:lineRule="auto"/>
        <w:rPr>
          <w:u w:val="single"/>
        </w:rPr>
      </w:pPr>
      <w:r w:rsidRPr="0006731F">
        <w:rPr>
          <w:b/>
          <w:bCs/>
        </w:rPr>
        <w:t>Cold peace, warm peace and reconciliation</w:t>
      </w:r>
    </w:p>
    <w:p w:rsidR="003E6737" w:rsidRPr="0006731F" w:rsidRDefault="003E6737" w:rsidP="003E6737">
      <w:pPr>
        <w:spacing w:line="360" w:lineRule="auto"/>
      </w:pPr>
      <w:r w:rsidRPr="0006731F">
        <w:t xml:space="preserve">Smith N. (2014) Political apologies and categorical apologies. In: M. Mihai &amp; M. Thaler (Eds.), </w:t>
      </w:r>
      <w:r w:rsidRPr="0006731F">
        <w:rPr>
          <w:i/>
          <w:iCs/>
        </w:rPr>
        <w:t>On the Uses and Abuses of Political Apologies</w:t>
      </w:r>
      <w:r w:rsidRPr="0006731F">
        <w:t xml:space="preserve"> (pp. 32-51). London: Rhetoric, Politics and Society Series. Palgrave Macmillan.</w:t>
      </w:r>
      <w:r>
        <w:rPr>
          <w:rFonts w:hint="cs"/>
          <w:rtl/>
        </w:rPr>
        <w:t xml:space="preserve"> </w:t>
      </w:r>
      <w:r w:rsidRPr="00FA0EE7">
        <w:rPr>
          <w:b/>
          <w:bCs/>
        </w:rPr>
        <w:t>E-Book</w:t>
      </w:r>
    </w:p>
    <w:p w:rsidR="003E6737" w:rsidRPr="0006731F" w:rsidRDefault="003E6737" w:rsidP="003E6737">
      <w:pPr>
        <w:spacing w:line="360" w:lineRule="auto"/>
      </w:pPr>
      <w:r w:rsidRPr="0006731F">
        <w:t>Maoz, I. (2011). </w:t>
      </w:r>
      <w:r w:rsidR="006B5459" w:rsidRPr="006B5459">
        <w:t>Does contact work in protracted asymmetrical conflict? Appraising 20 years of reconciliation-aimed encounters between Israeli Jews and Palestinians</w:t>
      </w:r>
      <w:r w:rsidRPr="0006731F">
        <w:rPr>
          <w:i/>
          <w:iCs/>
        </w:rPr>
        <w:t>. Journal of Peace Research</w:t>
      </w:r>
      <w:r w:rsidRPr="0006731F">
        <w:t>, 48(1), 115-125.</w:t>
      </w:r>
      <w:r>
        <w:rPr>
          <w:rFonts w:hint="cs"/>
          <w:rtl/>
        </w:rPr>
        <w:t xml:space="preserve"> </w:t>
      </w:r>
      <w:proofErr w:type="spellStart"/>
      <w:r>
        <w:rPr>
          <w:rFonts w:hint="cs"/>
          <w:b/>
          <w:bCs/>
        </w:rPr>
        <w:t>E</w:t>
      </w:r>
      <w:r>
        <w:rPr>
          <w:b/>
          <w:bCs/>
        </w:rPr>
        <w:t>journal</w:t>
      </w:r>
      <w:proofErr w:type="spellEnd"/>
    </w:p>
    <w:p w:rsidR="003E6737" w:rsidRPr="0006731F" w:rsidRDefault="003E6737" w:rsidP="003E6737">
      <w:pPr>
        <w:spacing w:line="360" w:lineRule="auto"/>
        <w:rPr>
          <w:b/>
          <w:bCs/>
        </w:rPr>
      </w:pPr>
      <w:r w:rsidRPr="0006731F">
        <w:t xml:space="preserve">Levy </w:t>
      </w:r>
      <w:proofErr w:type="spellStart"/>
      <w:r w:rsidRPr="0006731F">
        <w:t>Paluck</w:t>
      </w:r>
      <w:proofErr w:type="spellEnd"/>
      <w:r w:rsidRPr="0006731F">
        <w:t xml:space="preserve">, E., </w:t>
      </w:r>
      <w:proofErr w:type="spellStart"/>
      <w:r w:rsidRPr="0006731F">
        <w:t>Porat</w:t>
      </w:r>
      <w:proofErr w:type="spellEnd"/>
      <w:r w:rsidRPr="0006731F">
        <w:t>, R., Clark, C.S., Green, D.P. (2021). Prejudice reduction: progress and challenges. Annual Review of Psychology, 72, 533-560.</w:t>
      </w:r>
      <w:r w:rsidRPr="00EA2559">
        <w:rPr>
          <w:b/>
          <w:bCs/>
        </w:rPr>
        <w:t xml:space="preserve"> </w:t>
      </w:r>
      <w:proofErr w:type="spellStart"/>
      <w:r>
        <w:rPr>
          <w:b/>
          <w:bCs/>
        </w:rPr>
        <w:t>Ejournal</w:t>
      </w:r>
      <w:proofErr w:type="spellEnd"/>
    </w:p>
    <w:p w:rsidR="00F76ADB" w:rsidRPr="0006731F" w:rsidRDefault="00F76ADB" w:rsidP="00F76ADB">
      <w:pPr>
        <w:spacing w:line="360" w:lineRule="auto"/>
        <w:rPr>
          <w:b/>
          <w:bCs/>
        </w:rPr>
      </w:pPr>
    </w:p>
    <w:p w:rsidR="003E6737" w:rsidRPr="0006731F" w:rsidRDefault="007D4C8F" w:rsidP="003E6737">
      <w:pPr>
        <w:spacing w:line="360" w:lineRule="auto"/>
        <w:rPr>
          <w:b/>
          <w:bCs/>
        </w:rPr>
      </w:pPr>
      <w:bookmarkStart w:id="0" w:name="_GoBack"/>
      <w:bookmarkEnd w:id="0"/>
      <w:r w:rsidRPr="0006731F">
        <w:rPr>
          <w:b/>
          <w:bCs/>
        </w:rPr>
        <w:t>Final exam</w:t>
      </w:r>
    </w:p>
    <w:p w:rsidR="003E6737" w:rsidRPr="0006731F" w:rsidRDefault="003E6737" w:rsidP="003E6737">
      <w:pPr>
        <w:spacing w:line="360" w:lineRule="auto"/>
        <w:rPr>
          <w:color w:val="000000"/>
        </w:rPr>
      </w:pPr>
      <w:proofErr w:type="spellStart"/>
      <w:r w:rsidRPr="0006731F">
        <w:rPr>
          <w:color w:val="000000"/>
        </w:rPr>
        <w:t>Mapendere</w:t>
      </w:r>
      <w:proofErr w:type="spellEnd"/>
      <w:r w:rsidRPr="0006731F">
        <w:rPr>
          <w:color w:val="000000"/>
        </w:rPr>
        <w:t xml:space="preserve">, J. (2006). Track one and a half diplomacy and the complementarity of tracks, </w:t>
      </w:r>
      <w:r w:rsidRPr="0006731F">
        <w:rPr>
          <w:i/>
          <w:iCs/>
          <w:color w:val="000000"/>
        </w:rPr>
        <w:t>Culture of Peace Online Journal</w:t>
      </w:r>
      <w:r w:rsidRPr="0006731F">
        <w:rPr>
          <w:color w:val="000000"/>
        </w:rPr>
        <w:t>, 2(1), 66-81.</w:t>
      </w:r>
      <w:r w:rsidRPr="00EA2559">
        <w:rPr>
          <w:b/>
          <w:bCs/>
          <w:color w:val="000000"/>
        </w:rPr>
        <w:t xml:space="preserve"> </w:t>
      </w:r>
      <w:r>
        <w:rPr>
          <w:b/>
          <w:bCs/>
          <w:color w:val="000000"/>
        </w:rPr>
        <w:t>Online access</w:t>
      </w:r>
    </w:p>
    <w:p w:rsidR="00227C92" w:rsidRDefault="003E6737" w:rsidP="003E6737">
      <w:pPr>
        <w:spacing w:line="360" w:lineRule="auto"/>
        <w:rPr>
          <w:b/>
          <w:bCs/>
          <w:color w:val="000000"/>
        </w:rPr>
      </w:pPr>
      <w:r w:rsidRPr="0006731F">
        <w:rPr>
          <w:color w:val="000000"/>
        </w:rPr>
        <w:t xml:space="preserve">Volkan, D.V. (1991). Official and unofficial diplomacy: an overview. In: V. D. Volkan, J. V. Montville, &amp; D. A. Julius (Eds.), </w:t>
      </w:r>
      <w:r w:rsidRPr="0006731F">
        <w:rPr>
          <w:i/>
          <w:iCs/>
          <w:color w:val="000000"/>
        </w:rPr>
        <w:t xml:space="preserve">The Psychodynamics of International Relations: Vol. II Unofficial diplomacy at work </w:t>
      </w:r>
      <w:r w:rsidRPr="0006731F">
        <w:rPr>
          <w:color w:val="000000"/>
        </w:rPr>
        <w:t>(pp.1-16). Massachusetts: Lexington Books.</w:t>
      </w:r>
      <w:r w:rsidRPr="00EA2559">
        <w:rPr>
          <w:b/>
          <w:bCs/>
          <w:color w:val="000000"/>
        </w:rPr>
        <w:t xml:space="preserve"> </w:t>
      </w:r>
      <w:r>
        <w:rPr>
          <w:b/>
          <w:bCs/>
          <w:color w:val="000000"/>
        </w:rPr>
        <w:t xml:space="preserve">Main library </w:t>
      </w:r>
      <w:r w:rsidRPr="001D3FB8">
        <w:rPr>
          <w:b/>
          <w:bCs/>
          <w:color w:val="000000"/>
        </w:rPr>
        <w:t>JX 1391 P78</w:t>
      </w:r>
      <w:r>
        <w:rPr>
          <w:b/>
          <w:bCs/>
          <w:color w:val="000000"/>
        </w:rPr>
        <w:t xml:space="preserve">; </w:t>
      </w:r>
      <w:proofErr w:type="spellStart"/>
      <w:r w:rsidRPr="0019682F">
        <w:rPr>
          <w:b/>
          <w:bCs/>
          <w:color w:val="000000"/>
        </w:rPr>
        <w:t>Ereserve</w:t>
      </w:r>
      <w:proofErr w:type="spellEnd"/>
    </w:p>
    <w:p w:rsidR="001D5412" w:rsidRPr="0006731F" w:rsidRDefault="001D5412" w:rsidP="00CA1C4E">
      <w:pPr>
        <w:spacing w:line="360" w:lineRule="auto"/>
        <w:rPr>
          <w:b/>
          <w:bCs/>
        </w:rPr>
      </w:pPr>
    </w:p>
    <w:sectPr w:rsidR="001D5412" w:rsidRPr="000673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Hodes">
    <w:altName w:val="Arial"/>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AdvTimes">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45B"/>
    <w:rsid w:val="0006731F"/>
    <w:rsid w:val="00071766"/>
    <w:rsid w:val="000746D3"/>
    <w:rsid w:val="000A237A"/>
    <w:rsid w:val="000B62C6"/>
    <w:rsid w:val="000C29A0"/>
    <w:rsid w:val="000E4E65"/>
    <w:rsid w:val="000E79F9"/>
    <w:rsid w:val="00107804"/>
    <w:rsid w:val="00131EDE"/>
    <w:rsid w:val="0014691A"/>
    <w:rsid w:val="00160DAB"/>
    <w:rsid w:val="0016441B"/>
    <w:rsid w:val="00171DCB"/>
    <w:rsid w:val="001920EC"/>
    <w:rsid w:val="001965B8"/>
    <w:rsid w:val="001A5797"/>
    <w:rsid w:val="001B6D67"/>
    <w:rsid w:val="001D1E21"/>
    <w:rsid w:val="001D320C"/>
    <w:rsid w:val="001D5412"/>
    <w:rsid w:val="001E163A"/>
    <w:rsid w:val="001F64E9"/>
    <w:rsid w:val="00227C92"/>
    <w:rsid w:val="002304D6"/>
    <w:rsid w:val="002310A6"/>
    <w:rsid w:val="00242605"/>
    <w:rsid w:val="0027684C"/>
    <w:rsid w:val="00296EA3"/>
    <w:rsid w:val="002A413D"/>
    <w:rsid w:val="00345B14"/>
    <w:rsid w:val="00360772"/>
    <w:rsid w:val="00365E39"/>
    <w:rsid w:val="00371410"/>
    <w:rsid w:val="00372610"/>
    <w:rsid w:val="00377751"/>
    <w:rsid w:val="003830B5"/>
    <w:rsid w:val="003A1B64"/>
    <w:rsid w:val="003B7D1D"/>
    <w:rsid w:val="003D53CE"/>
    <w:rsid w:val="003E6737"/>
    <w:rsid w:val="00412197"/>
    <w:rsid w:val="00413C13"/>
    <w:rsid w:val="00481BAC"/>
    <w:rsid w:val="00494A1F"/>
    <w:rsid w:val="004B7AC0"/>
    <w:rsid w:val="004B7B61"/>
    <w:rsid w:val="004E572F"/>
    <w:rsid w:val="004E5F2D"/>
    <w:rsid w:val="004F4AA7"/>
    <w:rsid w:val="0051062D"/>
    <w:rsid w:val="0051328A"/>
    <w:rsid w:val="0053521A"/>
    <w:rsid w:val="0053672D"/>
    <w:rsid w:val="005606F1"/>
    <w:rsid w:val="00564DF0"/>
    <w:rsid w:val="00572E9B"/>
    <w:rsid w:val="00581DF2"/>
    <w:rsid w:val="00596F5F"/>
    <w:rsid w:val="005C5419"/>
    <w:rsid w:val="005C720F"/>
    <w:rsid w:val="005E1CE1"/>
    <w:rsid w:val="005E78A2"/>
    <w:rsid w:val="00602B12"/>
    <w:rsid w:val="006279BB"/>
    <w:rsid w:val="00640D48"/>
    <w:rsid w:val="0066064C"/>
    <w:rsid w:val="00661EA7"/>
    <w:rsid w:val="00682808"/>
    <w:rsid w:val="006978D1"/>
    <w:rsid w:val="006A718B"/>
    <w:rsid w:val="006B5459"/>
    <w:rsid w:val="006B6433"/>
    <w:rsid w:val="006C4A7A"/>
    <w:rsid w:val="006D2D53"/>
    <w:rsid w:val="00702E74"/>
    <w:rsid w:val="00705A0F"/>
    <w:rsid w:val="007061B3"/>
    <w:rsid w:val="00712760"/>
    <w:rsid w:val="00713274"/>
    <w:rsid w:val="00734E42"/>
    <w:rsid w:val="007548CD"/>
    <w:rsid w:val="007817DE"/>
    <w:rsid w:val="00787F85"/>
    <w:rsid w:val="0079001D"/>
    <w:rsid w:val="007B54AD"/>
    <w:rsid w:val="007D4C8F"/>
    <w:rsid w:val="00812384"/>
    <w:rsid w:val="00813D49"/>
    <w:rsid w:val="00814DC8"/>
    <w:rsid w:val="0082016E"/>
    <w:rsid w:val="008568D3"/>
    <w:rsid w:val="00867290"/>
    <w:rsid w:val="008717C6"/>
    <w:rsid w:val="0088747B"/>
    <w:rsid w:val="00893D24"/>
    <w:rsid w:val="00897E5C"/>
    <w:rsid w:val="008A49F2"/>
    <w:rsid w:val="008C5116"/>
    <w:rsid w:val="008E1556"/>
    <w:rsid w:val="008F5338"/>
    <w:rsid w:val="00900191"/>
    <w:rsid w:val="00911CCB"/>
    <w:rsid w:val="00924462"/>
    <w:rsid w:val="0093100B"/>
    <w:rsid w:val="009349B2"/>
    <w:rsid w:val="009358D2"/>
    <w:rsid w:val="00935DF5"/>
    <w:rsid w:val="00937A13"/>
    <w:rsid w:val="00983C5B"/>
    <w:rsid w:val="009A2032"/>
    <w:rsid w:val="009A40BA"/>
    <w:rsid w:val="009D42BA"/>
    <w:rsid w:val="00A07684"/>
    <w:rsid w:val="00A27AB7"/>
    <w:rsid w:val="00A3571F"/>
    <w:rsid w:val="00A77F8A"/>
    <w:rsid w:val="00A8045B"/>
    <w:rsid w:val="00A84FD4"/>
    <w:rsid w:val="00AC4559"/>
    <w:rsid w:val="00B25856"/>
    <w:rsid w:val="00B34FBE"/>
    <w:rsid w:val="00B50972"/>
    <w:rsid w:val="00B666E1"/>
    <w:rsid w:val="00B76F5B"/>
    <w:rsid w:val="00B867B7"/>
    <w:rsid w:val="00B94BF6"/>
    <w:rsid w:val="00BC2A0D"/>
    <w:rsid w:val="00BC4FDF"/>
    <w:rsid w:val="00BC5681"/>
    <w:rsid w:val="00BC6208"/>
    <w:rsid w:val="00BC7443"/>
    <w:rsid w:val="00BD1C79"/>
    <w:rsid w:val="00BD2A1C"/>
    <w:rsid w:val="00BD3735"/>
    <w:rsid w:val="00BE6573"/>
    <w:rsid w:val="00C23972"/>
    <w:rsid w:val="00C403E0"/>
    <w:rsid w:val="00C77CE9"/>
    <w:rsid w:val="00C86063"/>
    <w:rsid w:val="00CA1C4E"/>
    <w:rsid w:val="00CA42FE"/>
    <w:rsid w:val="00CA6D43"/>
    <w:rsid w:val="00CB2485"/>
    <w:rsid w:val="00CE4C77"/>
    <w:rsid w:val="00CF1C64"/>
    <w:rsid w:val="00D0158D"/>
    <w:rsid w:val="00D1242C"/>
    <w:rsid w:val="00D14C72"/>
    <w:rsid w:val="00D30621"/>
    <w:rsid w:val="00D3330D"/>
    <w:rsid w:val="00D4265B"/>
    <w:rsid w:val="00D452C0"/>
    <w:rsid w:val="00D47798"/>
    <w:rsid w:val="00D537D2"/>
    <w:rsid w:val="00D624A2"/>
    <w:rsid w:val="00DA3473"/>
    <w:rsid w:val="00DA451A"/>
    <w:rsid w:val="00DE600F"/>
    <w:rsid w:val="00DF012B"/>
    <w:rsid w:val="00E1212E"/>
    <w:rsid w:val="00E121D4"/>
    <w:rsid w:val="00E300CE"/>
    <w:rsid w:val="00E302EF"/>
    <w:rsid w:val="00E715EF"/>
    <w:rsid w:val="00E96AB4"/>
    <w:rsid w:val="00E97053"/>
    <w:rsid w:val="00EA2559"/>
    <w:rsid w:val="00EA6A13"/>
    <w:rsid w:val="00EB0D3C"/>
    <w:rsid w:val="00EC6C44"/>
    <w:rsid w:val="00EE3ED9"/>
    <w:rsid w:val="00EE77D2"/>
    <w:rsid w:val="00F0437A"/>
    <w:rsid w:val="00F466C4"/>
    <w:rsid w:val="00F54108"/>
    <w:rsid w:val="00F64F11"/>
    <w:rsid w:val="00F662EB"/>
    <w:rsid w:val="00F75935"/>
    <w:rsid w:val="00F76ADB"/>
    <w:rsid w:val="00F91461"/>
    <w:rsid w:val="00FA1B64"/>
    <w:rsid w:val="00FA78FC"/>
    <w:rsid w:val="00FD3B29"/>
    <w:rsid w:val="00FF1E6E"/>
    <w:rsid w:val="00FF4C58"/>
    <w:rsid w:val="00FF6C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CA4E6"/>
  <w15:chartTrackingRefBased/>
  <w15:docId w15:val="{E3C8D6E2-46FD-4FBD-B2AD-E18F5AE5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61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606F1"/>
    <w:rPr>
      <w:i/>
      <w:iCs/>
    </w:rPr>
  </w:style>
  <w:style w:type="character" w:customStyle="1" w:styleId="text3">
    <w:name w:val="text3"/>
    <w:basedOn w:val="DefaultParagraphFont"/>
    <w:rsid w:val="00E97053"/>
  </w:style>
  <w:style w:type="character" w:customStyle="1" w:styleId="description1">
    <w:name w:val="description1"/>
    <w:rsid w:val="00787F85"/>
    <w:rPr>
      <w:rFonts w:ascii="Tahoma" w:hAnsi="Tahoma" w:cs="Tahoma" w:hint="default"/>
      <w:color w:val="4C4C4C"/>
      <w:sz w:val="16"/>
      <w:szCs w:val="16"/>
    </w:rPr>
  </w:style>
  <w:style w:type="paragraph" w:styleId="EndnoteText">
    <w:name w:val="endnote text"/>
    <w:basedOn w:val="Normal"/>
    <w:semiHidden/>
    <w:rsid w:val="00B666E1"/>
    <w:pPr>
      <w:bidi/>
    </w:pPr>
    <w:rPr>
      <w:sz w:val="20"/>
      <w:szCs w:val="20"/>
      <w:lang w:eastAsia="he-IL"/>
    </w:rPr>
  </w:style>
  <w:style w:type="paragraph" w:customStyle="1" w:styleId="Default">
    <w:name w:val="Default"/>
    <w:rsid w:val="00CB2485"/>
    <w:pPr>
      <w:autoSpaceDE w:val="0"/>
      <w:autoSpaceDN w:val="0"/>
      <w:adjustRightInd w:val="0"/>
    </w:pPr>
    <w:rPr>
      <w:color w:val="000000"/>
      <w:sz w:val="24"/>
      <w:szCs w:val="24"/>
    </w:rPr>
  </w:style>
  <w:style w:type="paragraph" w:styleId="BalloonText">
    <w:name w:val="Balloon Text"/>
    <w:basedOn w:val="Normal"/>
    <w:link w:val="BalloonTextChar"/>
    <w:rsid w:val="00BC5681"/>
    <w:rPr>
      <w:rFonts w:ascii="Segoe UI" w:hAnsi="Segoe UI" w:cs="Segoe UI"/>
      <w:sz w:val="18"/>
      <w:szCs w:val="18"/>
    </w:rPr>
  </w:style>
  <w:style w:type="character" w:customStyle="1" w:styleId="BalloonTextChar">
    <w:name w:val="Balloon Text Char"/>
    <w:link w:val="BalloonText"/>
    <w:rsid w:val="00BC5681"/>
    <w:rPr>
      <w:rFonts w:ascii="Segoe UI" w:hAnsi="Segoe UI" w:cs="Segoe UI"/>
      <w:sz w:val="18"/>
      <w:szCs w:val="18"/>
    </w:rPr>
  </w:style>
  <w:style w:type="character" w:styleId="Hyperlink">
    <w:name w:val="Hyperlink"/>
    <w:rsid w:val="00BC5681"/>
    <w:rPr>
      <w:color w:val="0563C1"/>
      <w:u w:val="single"/>
    </w:rPr>
  </w:style>
  <w:style w:type="character" w:customStyle="1" w:styleId="StyleComplexTimesNewRoman">
    <w:name w:val="Style (Complex) Times New Roman"/>
    <w:rsid w:val="00F662EB"/>
    <w:rPr>
      <w:rFonts w:ascii="Times New Roman" w:hAnsi="Times New Roman" w:cs="David" w:hint="default"/>
      <w:sz w:val="24"/>
      <w:szCs w:val="24"/>
    </w:rPr>
  </w:style>
  <w:style w:type="character" w:styleId="UnresolvedMention">
    <w:name w:val="Unresolved Mention"/>
    <w:uiPriority w:val="99"/>
    <w:semiHidden/>
    <w:unhideWhenUsed/>
    <w:rsid w:val="00CE4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uval.benziman@mail.huji.ac.i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969</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Processes aimed at ending conflict</vt:lpstr>
    </vt:vector>
  </TitlesOfParts>
  <Company>Hewlett-Packard</Company>
  <LinksUpToDate>false</LinksUpToDate>
  <CharactersWithSpaces>6675</CharactersWithSpaces>
  <SharedDoc>false</SharedDoc>
  <HLinks>
    <vt:vector size="12" baseType="variant">
      <vt:variant>
        <vt:i4>5505068</vt:i4>
      </vt:variant>
      <vt:variant>
        <vt:i4>3</vt:i4>
      </vt:variant>
      <vt:variant>
        <vt:i4>0</vt:i4>
      </vt:variant>
      <vt:variant>
        <vt:i4>5</vt:i4>
      </vt:variant>
      <vt:variant>
        <vt:lpwstr>https://huji.alma.exlibrisgroup.com/leganto/public/972HUJI_INST/lists/17883781610003701?auth=SAML</vt:lpwstr>
      </vt:variant>
      <vt:variant>
        <vt:lpwstr/>
      </vt:variant>
      <vt:variant>
        <vt:i4>7208981</vt:i4>
      </vt:variant>
      <vt:variant>
        <vt:i4>0</vt:i4>
      </vt:variant>
      <vt:variant>
        <vt:i4>0</vt:i4>
      </vt:variant>
      <vt:variant>
        <vt:i4>5</vt:i4>
      </vt:variant>
      <vt:variant>
        <vt:lpwstr>mailto:yuval.benziman@mail.huji.ac.il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Processes aimed at ending conflict</dc:title>
  <dc:subject/>
  <dc:creator>benziman</dc:creator>
  <cp:keywords/>
  <dc:description/>
  <cp:lastModifiedBy>Nadine Ziyadeh</cp:lastModifiedBy>
  <cp:revision>3</cp:revision>
  <cp:lastPrinted>2023-06-15T06:58:00Z</cp:lastPrinted>
  <dcterms:created xsi:type="dcterms:W3CDTF">2023-08-07T06:27:00Z</dcterms:created>
  <dcterms:modified xsi:type="dcterms:W3CDTF">2023-08-07T06:28:00Z</dcterms:modified>
</cp:coreProperties>
</file>