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8D1D8C" w:rsidRPr="00500061" w14:paraId="4CD7CF0F" w14:textId="77777777" w:rsidTr="00E30C75">
        <w:trPr>
          <w:trHeight w:val="1559"/>
        </w:trPr>
        <w:tc>
          <w:tcPr>
            <w:tcW w:w="9830" w:type="dxa"/>
          </w:tcPr>
          <w:p w14:paraId="11313AC7" w14:textId="77777777" w:rsidR="008D1D8C" w:rsidRDefault="008D1D8C" w:rsidP="00E30C75">
            <w:pPr>
              <w:spacing w:line="276" w:lineRule="auto"/>
              <w:jc w:val="center"/>
              <w:rPr>
                <w:rFonts w:cs="Arial"/>
              </w:rPr>
            </w:pPr>
          </w:p>
          <w:p w14:paraId="28A8A88E" w14:textId="77777777" w:rsidR="008D1D8C" w:rsidRDefault="008D1D8C" w:rsidP="00E30C75">
            <w:pPr>
              <w:spacing w:line="276" w:lineRule="auto"/>
              <w:jc w:val="center"/>
              <w:rPr>
                <w:rFonts w:cs="Arial"/>
              </w:rPr>
            </w:pPr>
          </w:p>
          <w:p w14:paraId="69571544" w14:textId="77777777" w:rsidR="008D1D8C" w:rsidRPr="00500061" w:rsidRDefault="008D1D8C" w:rsidP="00E30C75">
            <w:pPr>
              <w:spacing w:line="276" w:lineRule="auto"/>
              <w:jc w:val="center"/>
              <w:rPr>
                <w:b/>
                <w:bCs/>
                <w:spacing w:val="152"/>
                <w:sz w:val="40"/>
                <w:szCs w:val="40"/>
              </w:rPr>
            </w:pPr>
          </w:p>
        </w:tc>
      </w:tr>
    </w:tbl>
    <w:p w14:paraId="0E2F47DF" w14:textId="77777777" w:rsidR="008D1D8C" w:rsidRPr="006C09F5" w:rsidRDefault="008D1D8C" w:rsidP="008D1D8C">
      <w:pPr>
        <w:spacing w:line="276" w:lineRule="auto"/>
        <w:jc w:val="center"/>
        <w:rPr>
          <w:vanish/>
        </w:rPr>
      </w:pPr>
    </w:p>
    <w:tbl>
      <w:tblPr>
        <w:tblW w:w="8364" w:type="dxa"/>
        <w:tblInd w:w="108" w:type="dxa"/>
        <w:tblLayout w:type="fixed"/>
        <w:tblLook w:val="01E0" w:firstRow="1" w:lastRow="1" w:firstColumn="1" w:lastColumn="1" w:noHBand="0" w:noVBand="0"/>
      </w:tblPr>
      <w:tblGrid>
        <w:gridCol w:w="4536"/>
        <w:gridCol w:w="3828"/>
      </w:tblGrid>
      <w:tr w:rsidR="008D1D8C" w:rsidRPr="00500061" w14:paraId="658864C2" w14:textId="77777777" w:rsidTr="00E30C75">
        <w:trPr>
          <w:trHeight w:val="865"/>
        </w:trPr>
        <w:tc>
          <w:tcPr>
            <w:tcW w:w="4536" w:type="dxa"/>
            <w:vAlign w:val="bottom"/>
          </w:tcPr>
          <w:p w14:paraId="46E4EC2F" w14:textId="77777777" w:rsidR="008D1D8C" w:rsidRDefault="008D1D8C" w:rsidP="00E30C75">
            <w:pPr>
              <w:spacing w:line="276" w:lineRule="auto"/>
              <w:jc w:val="center"/>
              <w:rPr>
                <w:rFonts w:cs="Guttman Hodes"/>
                <w:spacing w:val="32"/>
              </w:rPr>
            </w:pPr>
            <w:r>
              <w:rPr>
                <w:noProof/>
                <w:lang w:bidi="ar-SA"/>
              </w:rPr>
              <w:drawing>
                <wp:anchor distT="0" distB="0" distL="114300" distR="114300" simplePos="0" relativeHeight="251659264" behindDoc="1" locked="0" layoutInCell="1" allowOverlap="1" wp14:anchorId="3C8E4FD4" wp14:editId="3A993A54">
                  <wp:simplePos x="0" y="0"/>
                  <wp:positionH relativeFrom="column">
                    <wp:posOffset>167640</wp:posOffset>
                  </wp:positionH>
                  <wp:positionV relativeFrom="paragraph">
                    <wp:posOffset>-1035685</wp:posOffset>
                  </wp:positionV>
                  <wp:extent cx="5238750" cy="1343025"/>
                  <wp:effectExtent l="0" t="0" r="0" b="9525"/>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5AD6D" w14:textId="77777777" w:rsidR="008D1D8C" w:rsidRDefault="008D1D8C" w:rsidP="00E30C75">
            <w:pPr>
              <w:spacing w:line="276" w:lineRule="auto"/>
              <w:jc w:val="center"/>
              <w:rPr>
                <w:rFonts w:cs="Guttman Hodes"/>
                <w:spacing w:val="32"/>
              </w:rPr>
            </w:pPr>
          </w:p>
          <w:p w14:paraId="271B0D16" w14:textId="77777777" w:rsidR="008D1D8C" w:rsidRDefault="008D1D8C" w:rsidP="00E30C75">
            <w:pPr>
              <w:spacing w:line="276" w:lineRule="auto"/>
              <w:jc w:val="center"/>
              <w:rPr>
                <w:rFonts w:cs="Guttman Hodes"/>
                <w:spacing w:val="32"/>
              </w:rPr>
            </w:pPr>
          </w:p>
          <w:p w14:paraId="53D1BA57" w14:textId="77777777" w:rsidR="008D1D8C" w:rsidRPr="001227B4" w:rsidRDefault="008D1D8C" w:rsidP="00E30C75">
            <w:pPr>
              <w:spacing w:line="276" w:lineRule="auto"/>
              <w:ind w:left="318"/>
              <w:rPr>
                <w:rFonts w:cs="Guttman Hodes"/>
                <w:spacing w:val="32"/>
                <w:rtl/>
              </w:rPr>
            </w:pPr>
            <w:r w:rsidRPr="001227B4">
              <w:rPr>
                <w:rFonts w:cs="Guttman Hodes"/>
                <w:spacing w:val="32"/>
              </w:rPr>
              <w:t>Department of Summer Courses</w:t>
            </w:r>
          </w:p>
          <w:p w14:paraId="2FE68209" w14:textId="77777777" w:rsidR="008D1D8C" w:rsidRPr="00500061" w:rsidRDefault="008D1D8C" w:rsidP="00E30C75">
            <w:pPr>
              <w:spacing w:line="276" w:lineRule="auto"/>
              <w:ind w:left="318"/>
              <w:rPr>
                <w:b/>
                <w:bCs/>
                <w:spacing w:val="152"/>
                <w:sz w:val="40"/>
                <w:szCs w:val="40"/>
              </w:rPr>
            </w:pPr>
            <w:r w:rsidRPr="001227B4">
              <w:rPr>
                <w:rFonts w:cs="Guttman Hodes"/>
                <w:spacing w:val="32"/>
              </w:rPr>
              <w:t>and Special Programs</w:t>
            </w:r>
          </w:p>
        </w:tc>
        <w:tc>
          <w:tcPr>
            <w:tcW w:w="3828" w:type="dxa"/>
            <w:vAlign w:val="bottom"/>
          </w:tcPr>
          <w:p w14:paraId="3917525C" w14:textId="77777777" w:rsidR="008D1D8C" w:rsidRDefault="008D1D8C" w:rsidP="00E30C75">
            <w:pPr>
              <w:spacing w:line="276" w:lineRule="auto"/>
              <w:jc w:val="center"/>
            </w:pPr>
          </w:p>
          <w:p w14:paraId="4EBF6B03" w14:textId="77777777" w:rsidR="008D1D8C" w:rsidRPr="003160B2" w:rsidRDefault="008D1D8C" w:rsidP="00E30C75">
            <w:pPr>
              <w:spacing w:line="276" w:lineRule="auto"/>
              <w:rPr>
                <w:rFonts w:cs="David"/>
                <w:sz w:val="22"/>
                <w:szCs w:val="22"/>
                <w:rtl/>
              </w:rPr>
            </w:pPr>
            <w:r w:rsidRPr="003160B2">
              <w:rPr>
                <w:rFonts w:cs="David" w:hint="cs"/>
                <w:sz w:val="22"/>
                <w:szCs w:val="22"/>
                <w:rtl/>
              </w:rPr>
              <w:t>ה</w:t>
            </w:r>
            <w:r w:rsidRPr="003160B2">
              <w:rPr>
                <w:rFonts w:cs="David"/>
                <w:sz w:val="22"/>
                <w:szCs w:val="22"/>
              </w:rPr>
              <w:t xml:space="preserve"> </w:t>
            </w:r>
            <w:r w:rsidRPr="003160B2">
              <w:rPr>
                <w:rFonts w:cs="David" w:hint="cs"/>
                <w:sz w:val="22"/>
                <w:szCs w:val="22"/>
                <w:rtl/>
              </w:rPr>
              <w:t>מ</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ה</w:t>
            </w:r>
            <w:r w:rsidRPr="003160B2">
              <w:rPr>
                <w:rFonts w:cs="David"/>
                <w:sz w:val="22"/>
                <w:szCs w:val="22"/>
              </w:rPr>
              <w:t xml:space="preserve">   </w:t>
            </w:r>
            <w:r w:rsidRPr="003160B2">
              <w:rPr>
                <w:rFonts w:cs="David" w:hint="cs"/>
                <w:sz w:val="22"/>
                <w:szCs w:val="22"/>
                <w:rtl/>
              </w:rPr>
              <w:t xml:space="preserve"> 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ר</w:t>
            </w:r>
            <w:r w:rsidRPr="003160B2">
              <w:rPr>
                <w:rFonts w:cs="David"/>
                <w:sz w:val="22"/>
                <w:szCs w:val="22"/>
              </w:rPr>
              <w:t xml:space="preserve"> </w:t>
            </w:r>
            <w:r w:rsidRPr="003160B2">
              <w:rPr>
                <w:rFonts w:cs="David" w:hint="cs"/>
                <w:sz w:val="22"/>
                <w:szCs w:val="22"/>
                <w:rtl/>
              </w:rPr>
              <w:t>ס</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 xml:space="preserve"> ק</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ץ</w:t>
            </w:r>
          </w:p>
          <w:p w14:paraId="207938E5" w14:textId="77777777" w:rsidR="008D1D8C" w:rsidRPr="00500061" w:rsidRDefault="008D1D8C" w:rsidP="00E30C75">
            <w:pPr>
              <w:spacing w:line="276" w:lineRule="auto"/>
              <w:rPr>
                <w:b/>
                <w:bCs/>
                <w:spacing w:val="152"/>
                <w:sz w:val="40"/>
                <w:szCs w:val="40"/>
              </w:rPr>
            </w:pP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כ</w:t>
            </w:r>
            <w:r w:rsidRPr="003160B2">
              <w:rPr>
                <w:rFonts w:cs="David"/>
                <w:sz w:val="22"/>
                <w:szCs w:val="22"/>
              </w:rPr>
              <w:t xml:space="preserve"> </w:t>
            </w:r>
            <w:r w:rsidRPr="003160B2">
              <w:rPr>
                <w:rFonts w:cs="David" w:hint="cs"/>
                <w:sz w:val="22"/>
                <w:szCs w:val="22"/>
                <w:rtl/>
              </w:rPr>
              <w:t>נ</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 xml:space="preserve"> מ</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ד</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p>
        </w:tc>
      </w:tr>
    </w:tbl>
    <w:p w14:paraId="51403C2D" w14:textId="77777777" w:rsidR="00387786" w:rsidRDefault="00387786">
      <w:pPr>
        <w:pStyle w:val="Standard"/>
        <w:jc w:val="center"/>
        <w:rPr>
          <w:b/>
          <w:bCs/>
        </w:rPr>
      </w:pPr>
    </w:p>
    <w:p w14:paraId="38DA0B8F" w14:textId="77777777" w:rsidR="00B41614" w:rsidRDefault="00B41614" w:rsidP="00387786">
      <w:pPr>
        <w:pStyle w:val="Standard"/>
        <w:rPr>
          <w:b/>
          <w:bCs/>
          <w:lang w:bidi="ar-SA"/>
        </w:rPr>
      </w:pPr>
    </w:p>
    <w:p w14:paraId="1FFA49A3" w14:textId="607D1014" w:rsidR="00B41614" w:rsidRPr="000E34DB" w:rsidRDefault="00040EA2" w:rsidP="008D1D8C">
      <w:pPr>
        <w:pStyle w:val="Standard"/>
        <w:jc w:val="center"/>
        <w:rPr>
          <w:b/>
          <w:bCs/>
          <w:color w:val="C00000"/>
          <w:lang w:bidi="ar-SA"/>
        </w:rPr>
      </w:pPr>
      <w:r w:rsidRPr="000E34DB">
        <w:rPr>
          <w:b/>
          <w:bCs/>
          <w:color w:val="C00000"/>
          <w:lang w:bidi="ar-SA"/>
        </w:rPr>
        <w:t>Israeli Society: Particularity and Pluralism</w:t>
      </w:r>
      <w:r w:rsidR="000E34DB" w:rsidRPr="000E34DB">
        <w:rPr>
          <w:b/>
          <w:bCs/>
          <w:color w:val="C00000"/>
          <w:lang w:bidi="ar-SA"/>
        </w:rPr>
        <w:t xml:space="preserve"> </w:t>
      </w:r>
      <w:r w:rsidR="008D1D8C" w:rsidRPr="000E34DB">
        <w:rPr>
          <w:b/>
          <w:bCs/>
          <w:color w:val="C00000"/>
          <w:lang w:bidi="ar-SA"/>
        </w:rPr>
        <w:t>(48851)</w:t>
      </w:r>
    </w:p>
    <w:p w14:paraId="45476F13" w14:textId="77777777" w:rsidR="000E34DB" w:rsidRPr="000E34DB" w:rsidRDefault="000E34DB" w:rsidP="000E34DB">
      <w:pPr>
        <w:pStyle w:val="Standard"/>
        <w:jc w:val="center"/>
        <w:rPr>
          <w:color w:val="C00000"/>
          <w:lang w:bidi="ar-SA"/>
        </w:rPr>
      </w:pPr>
      <w:r w:rsidRPr="000E34DB">
        <w:rPr>
          <w:color w:val="C00000"/>
          <w:lang w:bidi="ar-SA"/>
        </w:rPr>
        <w:t>Dr. Jonathan Kaplan</w:t>
      </w:r>
    </w:p>
    <w:p w14:paraId="08191501" w14:textId="77777777" w:rsidR="000E34DB" w:rsidRDefault="000E34DB" w:rsidP="008D1D8C">
      <w:pPr>
        <w:pStyle w:val="Standard"/>
        <w:jc w:val="center"/>
        <w:rPr>
          <w:b/>
          <w:bCs/>
          <w:lang w:bidi="ar-SA"/>
        </w:rPr>
      </w:pPr>
    </w:p>
    <w:p w14:paraId="184357A3" w14:textId="60A4144C" w:rsidR="00B41614" w:rsidRDefault="000718F6" w:rsidP="008D1D8C">
      <w:pPr>
        <w:pStyle w:val="Standard"/>
        <w:jc w:val="center"/>
        <w:rPr>
          <w:lang w:bidi="ar-SA"/>
        </w:rPr>
      </w:pPr>
      <w:hyperlink r:id="rId8" w:history="1">
        <w:r w:rsidR="000E34DB" w:rsidRPr="009137FA">
          <w:rPr>
            <w:rStyle w:val="Hyperlink"/>
            <w:lang w:bidi="ar-SA"/>
          </w:rPr>
          <w:t>yonatan.kaplan@gmail.com</w:t>
        </w:r>
      </w:hyperlink>
    </w:p>
    <w:p w14:paraId="69988D1D" w14:textId="7F38206A" w:rsidR="000E34DB" w:rsidRPr="000E34DB" w:rsidRDefault="000E34DB" w:rsidP="000E34DB">
      <w:pPr>
        <w:pStyle w:val="Standard"/>
        <w:jc w:val="center"/>
        <w:rPr>
          <w:b/>
          <w:bCs/>
          <w:lang w:bidi="ar-SA"/>
        </w:rPr>
      </w:pPr>
      <w:r>
        <w:rPr>
          <w:b/>
          <w:bCs/>
          <w:lang w:bidi="ar-SA"/>
        </w:rPr>
        <w:t>July 4-25, 2023</w:t>
      </w:r>
    </w:p>
    <w:p w14:paraId="6A85C474" w14:textId="77777777" w:rsidR="00B41614" w:rsidRDefault="00B41614">
      <w:pPr>
        <w:pStyle w:val="Standard"/>
        <w:jc w:val="center"/>
        <w:rPr>
          <w:b/>
          <w:bCs/>
          <w:lang w:bidi="ar-SA"/>
        </w:rPr>
      </w:pPr>
    </w:p>
    <w:p w14:paraId="28CE97D8" w14:textId="7337FA43" w:rsidR="00B41614" w:rsidRPr="000E34DB" w:rsidRDefault="000E34DB">
      <w:pPr>
        <w:pStyle w:val="Standard"/>
        <w:jc w:val="center"/>
        <w:rPr>
          <w:b/>
          <w:bCs/>
          <w:color w:val="C00000"/>
          <w:sz w:val="20"/>
          <w:szCs w:val="20"/>
          <w:lang w:bidi="ar-SA"/>
        </w:rPr>
      </w:pPr>
      <w:r w:rsidRPr="000E34DB">
        <w:rPr>
          <w:b/>
          <w:bCs/>
          <w:color w:val="C00000"/>
          <w:sz w:val="20"/>
          <w:szCs w:val="20"/>
          <w:lang w:bidi="ar-SA"/>
        </w:rPr>
        <w:t>Tentative</w:t>
      </w:r>
      <w:r w:rsidR="00416AF1" w:rsidRPr="000E34DB">
        <w:rPr>
          <w:b/>
          <w:bCs/>
          <w:color w:val="C00000"/>
          <w:sz w:val="20"/>
          <w:szCs w:val="20"/>
          <w:lang w:bidi="ar-SA"/>
        </w:rPr>
        <w:t xml:space="preserve"> Syllabus</w:t>
      </w:r>
    </w:p>
    <w:p w14:paraId="18A3FD0F" w14:textId="77777777" w:rsidR="00B41614" w:rsidRDefault="00416AF1">
      <w:pPr>
        <w:pStyle w:val="Standard"/>
        <w:rPr>
          <w:lang w:bidi="ar-SA"/>
        </w:rPr>
      </w:pPr>
      <w:r>
        <w:rPr>
          <w:lang w:bidi="ar-SA"/>
        </w:rPr>
        <w:t> </w:t>
      </w:r>
    </w:p>
    <w:p w14:paraId="5B78ABD7" w14:textId="0F0254D6" w:rsidR="00E27BA6" w:rsidRDefault="00416AF1" w:rsidP="00E27BA6">
      <w:pPr>
        <w:pStyle w:val="Standard"/>
        <w:ind w:left="1440" w:hanging="1418"/>
        <w:rPr>
          <w:lang w:bidi="ar-SA"/>
        </w:rPr>
      </w:pPr>
      <w:r>
        <w:rPr>
          <w:b/>
          <w:bCs/>
          <w:lang w:bidi="ar-SA"/>
        </w:rPr>
        <w:t>Description</w:t>
      </w:r>
      <w:r>
        <w:rPr>
          <w:lang w:bidi="ar-SA"/>
        </w:rPr>
        <w:t>:   This course examines historical, social and political aspects of contemporary Israeli society. After analyzing the ideologies and groups that played a major role in the formation of Israeli society, class discussion will focus on social and political issues which are at the center of current debate in the country.</w:t>
      </w:r>
      <w:r w:rsidR="00E27BA6">
        <w:rPr>
          <w:lang w:bidi="ar-SA"/>
        </w:rPr>
        <w:t xml:space="preserve"> Special attention will be devoted to an </w:t>
      </w:r>
      <w:r w:rsidR="00E27BA6" w:rsidRPr="00E27BA6">
        <w:rPr>
          <w:lang w:bidi="ar-SA"/>
        </w:rPr>
        <w:t>examin</w:t>
      </w:r>
      <w:r w:rsidR="00E27BA6">
        <w:rPr>
          <w:lang w:bidi="ar-SA"/>
        </w:rPr>
        <w:t>ation</w:t>
      </w:r>
      <w:r w:rsidR="00E27BA6" w:rsidRPr="00E27BA6">
        <w:rPr>
          <w:lang w:bidi="ar-SA"/>
        </w:rPr>
        <w:t xml:space="preserve"> </w:t>
      </w:r>
      <w:r w:rsidR="00E27BA6">
        <w:rPr>
          <w:lang w:bidi="ar-SA"/>
        </w:rPr>
        <w:t xml:space="preserve">of </w:t>
      </w:r>
      <w:r w:rsidR="00E27BA6" w:rsidRPr="00E27BA6">
        <w:rPr>
          <w:lang w:bidi="ar-SA"/>
        </w:rPr>
        <w:t>the tension between the visions of Israel as a democracy and Israel as the Jewish nation-state.</w:t>
      </w:r>
    </w:p>
    <w:p w14:paraId="559AF9BD" w14:textId="77777777" w:rsidR="008412E1" w:rsidRDefault="008412E1">
      <w:pPr>
        <w:pStyle w:val="Standard"/>
        <w:ind w:left="1440" w:hanging="1418"/>
        <w:rPr>
          <w:lang w:bidi="ar-SA"/>
        </w:rPr>
      </w:pPr>
    </w:p>
    <w:p w14:paraId="31EBE9A9" w14:textId="0EAFD88A" w:rsidR="008412E1" w:rsidRDefault="008412E1">
      <w:pPr>
        <w:pStyle w:val="Standard"/>
        <w:ind w:left="1440" w:hanging="1418"/>
      </w:pPr>
      <w:r>
        <w:rPr>
          <w:b/>
          <w:bCs/>
          <w:lang w:bidi="ar-SA"/>
        </w:rPr>
        <w:t>Learning Outcomes</w:t>
      </w:r>
      <w:r w:rsidRPr="008412E1">
        <w:t>:</w:t>
      </w:r>
      <w:r>
        <w:t xml:space="preserve"> </w:t>
      </w:r>
      <w:r w:rsidR="00371A53">
        <w:t>The course will prepare s</w:t>
      </w:r>
      <w:r>
        <w:t>tudents to:</w:t>
      </w:r>
    </w:p>
    <w:p w14:paraId="7E37A49D" w14:textId="1041AEF7" w:rsidR="008412E1" w:rsidRDefault="00371A53" w:rsidP="00371A53">
      <w:pPr>
        <w:pStyle w:val="Standard"/>
        <w:numPr>
          <w:ilvl w:val="0"/>
          <w:numId w:val="3"/>
        </w:numPr>
        <w:rPr>
          <w:lang w:bidi="ar-SA"/>
        </w:rPr>
      </w:pPr>
      <w:r>
        <w:rPr>
          <w:lang w:bidi="ar-SA"/>
        </w:rPr>
        <w:t>Identify and d</w:t>
      </w:r>
      <w:r w:rsidR="008412E1">
        <w:rPr>
          <w:lang w:bidi="ar-SA"/>
        </w:rPr>
        <w:t>escribe the major social groups in Israeli society</w:t>
      </w:r>
    </w:p>
    <w:p w14:paraId="5C9588CE" w14:textId="2527F222" w:rsidR="008412E1" w:rsidRDefault="008412E1" w:rsidP="00610C7A">
      <w:pPr>
        <w:pStyle w:val="Standard"/>
        <w:numPr>
          <w:ilvl w:val="0"/>
          <w:numId w:val="3"/>
        </w:numPr>
        <w:rPr>
          <w:lang w:bidi="ar-SA"/>
        </w:rPr>
      </w:pPr>
      <w:r>
        <w:rPr>
          <w:lang w:bidi="ar-SA"/>
        </w:rPr>
        <w:t xml:space="preserve">Communicate the </w:t>
      </w:r>
      <w:r w:rsidR="00BE09A5">
        <w:rPr>
          <w:lang w:bidi="ar-SA"/>
        </w:rPr>
        <w:t xml:space="preserve">essence and </w:t>
      </w:r>
      <w:r>
        <w:rPr>
          <w:lang w:bidi="ar-SA"/>
        </w:rPr>
        <w:t>complexity of key social and political issues in Israel</w:t>
      </w:r>
      <w:r w:rsidR="00610C7A">
        <w:rPr>
          <w:lang w:bidi="ar-SA"/>
        </w:rPr>
        <w:t xml:space="preserve"> and the </w:t>
      </w:r>
      <w:r w:rsidR="00371A53">
        <w:rPr>
          <w:lang w:bidi="ar-SA"/>
        </w:rPr>
        <w:t xml:space="preserve">positions </w:t>
      </w:r>
      <w:r w:rsidR="00610C7A">
        <w:rPr>
          <w:lang w:bidi="ar-SA"/>
        </w:rPr>
        <w:t xml:space="preserve">of different political and ideological groups </w:t>
      </w:r>
      <w:r w:rsidR="00371A53">
        <w:rPr>
          <w:lang w:bidi="ar-SA"/>
        </w:rPr>
        <w:t>on</w:t>
      </w:r>
      <w:r w:rsidR="00610C7A">
        <w:rPr>
          <w:lang w:bidi="ar-SA"/>
        </w:rPr>
        <w:t xml:space="preserve"> these issues.</w:t>
      </w:r>
    </w:p>
    <w:p w14:paraId="35FCCD7D" w14:textId="4535AD37" w:rsidR="00371A53" w:rsidRDefault="00371A53" w:rsidP="00610C7A">
      <w:pPr>
        <w:pStyle w:val="Standard"/>
        <w:numPr>
          <w:ilvl w:val="0"/>
          <w:numId w:val="3"/>
        </w:numPr>
        <w:rPr>
          <w:lang w:bidi="ar-SA"/>
        </w:rPr>
      </w:pPr>
      <w:r>
        <w:rPr>
          <w:lang w:bidi="ar-SA"/>
        </w:rPr>
        <w:t>Present characteristic aspects of Israel’s political system</w:t>
      </w:r>
    </w:p>
    <w:p w14:paraId="5FB97AAE" w14:textId="32B3C797" w:rsidR="00610C7A" w:rsidRDefault="00371A53" w:rsidP="00610C7A">
      <w:pPr>
        <w:pStyle w:val="Standard"/>
        <w:numPr>
          <w:ilvl w:val="0"/>
          <w:numId w:val="3"/>
        </w:numPr>
        <w:rPr>
          <w:lang w:bidi="ar-SA"/>
        </w:rPr>
      </w:pPr>
      <w:r>
        <w:rPr>
          <w:lang w:bidi="ar-SA"/>
        </w:rPr>
        <w:t>Analyze and assess</w:t>
      </w:r>
      <w:r w:rsidR="00610C7A">
        <w:rPr>
          <w:lang w:bidi="ar-SA"/>
        </w:rPr>
        <w:t xml:space="preserve"> the </w:t>
      </w:r>
      <w:r>
        <w:rPr>
          <w:lang w:bidi="ar-SA"/>
        </w:rPr>
        <w:t>character</w:t>
      </w:r>
      <w:r w:rsidR="00610C7A">
        <w:rPr>
          <w:lang w:bidi="ar-SA"/>
        </w:rPr>
        <w:t xml:space="preserve"> of Israel as both a democra</w:t>
      </w:r>
      <w:r>
        <w:rPr>
          <w:lang w:bidi="ar-SA"/>
        </w:rPr>
        <w:t>cy</w:t>
      </w:r>
      <w:r w:rsidR="00610C7A">
        <w:rPr>
          <w:lang w:bidi="ar-SA"/>
        </w:rPr>
        <w:t xml:space="preserve"> and Jewish nation-state</w:t>
      </w:r>
    </w:p>
    <w:p w14:paraId="154EBFFC" w14:textId="77777777" w:rsidR="00610C7A" w:rsidRDefault="00610C7A">
      <w:pPr>
        <w:pStyle w:val="Standard"/>
        <w:ind w:left="1440" w:hanging="1418"/>
      </w:pPr>
    </w:p>
    <w:p w14:paraId="4B0B47EC" w14:textId="4FC4BBF5" w:rsidR="00B41614" w:rsidRDefault="00416AF1">
      <w:pPr>
        <w:pStyle w:val="Standard"/>
      </w:pPr>
      <w:r>
        <w:rPr>
          <w:b/>
          <w:bCs/>
          <w:lang w:bidi="ar-SA"/>
        </w:rPr>
        <w:t>Times</w:t>
      </w:r>
      <w:r>
        <w:rPr>
          <w:lang w:bidi="ar-SA"/>
        </w:rPr>
        <w:t>:             </w:t>
      </w:r>
      <w:r w:rsidR="00667D7A">
        <w:rPr>
          <w:lang w:bidi="ar-SA"/>
        </w:rPr>
        <w:t xml:space="preserve"> </w:t>
      </w:r>
      <w:r w:rsidR="00FA6D3F">
        <w:rPr>
          <w:lang w:bidi="ar-SA"/>
        </w:rPr>
        <w:t>Mondays</w:t>
      </w:r>
      <w:r w:rsidR="00367A42">
        <w:rPr>
          <w:lang w:bidi="ar-SA"/>
        </w:rPr>
        <w:t>, Tuesdays</w:t>
      </w:r>
      <w:r>
        <w:rPr>
          <w:lang w:bidi="ar-SA"/>
        </w:rPr>
        <w:t xml:space="preserve"> and </w:t>
      </w:r>
      <w:r w:rsidR="00FA6D3F">
        <w:rPr>
          <w:lang w:bidi="ar-SA"/>
        </w:rPr>
        <w:t>Wednesdays</w:t>
      </w:r>
      <w:r>
        <w:rPr>
          <w:lang w:bidi="ar-SA"/>
        </w:rPr>
        <w:t>, 1</w:t>
      </w:r>
      <w:r w:rsidR="00367A42">
        <w:rPr>
          <w:lang w:bidi="ar-SA"/>
        </w:rPr>
        <w:t>6</w:t>
      </w:r>
      <w:r>
        <w:rPr>
          <w:lang w:bidi="ar-SA"/>
        </w:rPr>
        <w:t>:30-</w:t>
      </w:r>
      <w:r w:rsidR="00367A42">
        <w:rPr>
          <w:lang w:bidi="ar-SA"/>
        </w:rPr>
        <w:t>19</w:t>
      </w:r>
      <w:r>
        <w:rPr>
          <w:lang w:bidi="ar-SA"/>
        </w:rPr>
        <w:t>:</w:t>
      </w:r>
      <w:r w:rsidR="00367A42">
        <w:rPr>
          <w:lang w:bidi="ar-SA"/>
        </w:rPr>
        <w:t>3</w:t>
      </w:r>
      <w:r>
        <w:rPr>
          <w:lang w:bidi="ar-SA"/>
        </w:rPr>
        <w:t>0</w:t>
      </w:r>
    </w:p>
    <w:p w14:paraId="0AD2FE9B" w14:textId="77777777" w:rsidR="00B41614" w:rsidRDefault="00416AF1">
      <w:pPr>
        <w:pStyle w:val="Standard"/>
        <w:rPr>
          <w:lang w:bidi="ar-SA"/>
        </w:rPr>
      </w:pPr>
      <w:r>
        <w:rPr>
          <w:lang w:bidi="ar-SA"/>
        </w:rPr>
        <w:t> </w:t>
      </w:r>
    </w:p>
    <w:p w14:paraId="5B7E39ED" w14:textId="77777777" w:rsidR="00B41614" w:rsidRDefault="00416AF1">
      <w:pPr>
        <w:pStyle w:val="Standard"/>
      </w:pPr>
      <w:r>
        <w:rPr>
          <w:b/>
          <w:bCs/>
          <w:lang w:bidi="ar-SA"/>
        </w:rPr>
        <w:t>Office Hours</w:t>
      </w:r>
      <w:r>
        <w:rPr>
          <w:lang w:bidi="ar-SA"/>
        </w:rPr>
        <w:t>:  By appointment.</w:t>
      </w:r>
    </w:p>
    <w:p w14:paraId="14812D17" w14:textId="77777777" w:rsidR="00B41614" w:rsidRDefault="00416AF1">
      <w:pPr>
        <w:pStyle w:val="Standard"/>
        <w:rPr>
          <w:lang w:bidi="ar-SA"/>
        </w:rPr>
      </w:pPr>
      <w:r>
        <w:rPr>
          <w:lang w:bidi="ar-SA"/>
        </w:rPr>
        <w:t> </w:t>
      </w:r>
    </w:p>
    <w:p w14:paraId="3AAB85BA" w14:textId="6E7C4965" w:rsidR="00B41614" w:rsidRDefault="00416AF1">
      <w:pPr>
        <w:pStyle w:val="Standard"/>
      </w:pPr>
      <w:r>
        <w:rPr>
          <w:b/>
          <w:bCs/>
          <w:lang w:bidi="ar-SA"/>
        </w:rPr>
        <w:t>Requirements</w:t>
      </w:r>
      <w:r>
        <w:rPr>
          <w:lang w:bidi="ar-SA"/>
        </w:rPr>
        <w:t>: 1. Current preparation and participation in class</w:t>
      </w:r>
      <w:r w:rsidR="00367A42">
        <w:rPr>
          <w:lang w:bidi="ar-SA"/>
        </w:rPr>
        <w:t xml:space="preserve"> (20% of final mark)</w:t>
      </w:r>
    </w:p>
    <w:p w14:paraId="6E57710D" w14:textId="6400C718" w:rsidR="00B41614" w:rsidRDefault="00416AF1">
      <w:pPr>
        <w:pStyle w:val="Standard"/>
        <w:rPr>
          <w:lang w:bidi="ar-SA"/>
        </w:rPr>
      </w:pPr>
      <w:r>
        <w:rPr>
          <w:lang w:bidi="ar-SA"/>
        </w:rPr>
        <w:t xml:space="preserve">                          3. Final Exam </w:t>
      </w:r>
      <w:r w:rsidR="00691340">
        <w:rPr>
          <w:lang w:bidi="ar-SA"/>
        </w:rPr>
        <w:t xml:space="preserve">July 25, 2023 </w:t>
      </w:r>
      <w:r>
        <w:rPr>
          <w:lang w:bidi="ar-SA"/>
        </w:rPr>
        <w:t>(</w:t>
      </w:r>
      <w:r w:rsidR="00367A42">
        <w:rPr>
          <w:lang w:bidi="ar-SA"/>
        </w:rPr>
        <w:t>80%</w:t>
      </w:r>
      <w:r>
        <w:rPr>
          <w:lang w:bidi="ar-SA"/>
        </w:rPr>
        <w:t xml:space="preserve"> of final mark).</w:t>
      </w:r>
    </w:p>
    <w:p w14:paraId="2B98F06B" w14:textId="77777777" w:rsidR="00B41614" w:rsidRDefault="00416AF1">
      <w:pPr>
        <w:pStyle w:val="Standard"/>
        <w:rPr>
          <w:lang w:bidi="ar-SA"/>
        </w:rPr>
      </w:pPr>
      <w:r>
        <w:rPr>
          <w:lang w:bidi="ar-SA"/>
        </w:rPr>
        <w:t> </w:t>
      </w:r>
    </w:p>
    <w:p w14:paraId="254BF38B" w14:textId="6613C58C" w:rsidR="00B41614" w:rsidRDefault="00416AF1">
      <w:pPr>
        <w:pStyle w:val="Standard"/>
        <w:spacing w:after="240"/>
      </w:pPr>
      <w:r>
        <w:rPr>
          <w:b/>
          <w:bCs/>
          <w:lang w:bidi="ar-SA"/>
        </w:rPr>
        <w:t>Books</w:t>
      </w:r>
      <w:r>
        <w:rPr>
          <w:lang w:bidi="ar-SA"/>
        </w:rPr>
        <w:t>:            Th</w:t>
      </w:r>
      <w:r w:rsidR="0059054F">
        <w:rPr>
          <w:lang w:bidi="ar-SA"/>
        </w:rPr>
        <w:t xml:space="preserve">is following book </w:t>
      </w:r>
      <w:r>
        <w:rPr>
          <w:lang w:bidi="ar-SA"/>
        </w:rPr>
        <w:t>will be used extensively during the course:</w:t>
      </w:r>
    </w:p>
    <w:p w14:paraId="2B5BB5A7" w14:textId="6CCD46CC" w:rsidR="00416AF1" w:rsidRDefault="00037981" w:rsidP="003059B7">
      <w:pPr>
        <w:pStyle w:val="Standard"/>
        <w:spacing w:after="120"/>
        <w:ind w:left="1418"/>
        <w:rPr>
          <w:color w:val="000000" w:themeColor="text1"/>
          <w:lang w:bidi="ar-SA"/>
        </w:rPr>
      </w:pPr>
      <w:r w:rsidRPr="009D50BC">
        <w:rPr>
          <w:color w:val="000000" w:themeColor="text1"/>
          <w:lang w:bidi="ar-SA"/>
        </w:rPr>
        <w:t xml:space="preserve">Reuven Y. </w:t>
      </w:r>
      <w:proofErr w:type="spellStart"/>
      <w:r w:rsidRPr="009D50BC">
        <w:rPr>
          <w:color w:val="000000" w:themeColor="text1"/>
          <w:lang w:bidi="ar-SA"/>
        </w:rPr>
        <w:t>Hazan</w:t>
      </w:r>
      <w:proofErr w:type="spellEnd"/>
      <w:r w:rsidRPr="009D50BC">
        <w:rPr>
          <w:color w:val="000000" w:themeColor="text1"/>
          <w:lang w:bidi="ar-SA"/>
        </w:rPr>
        <w:t xml:space="preserve">, Alan </w:t>
      </w:r>
      <w:proofErr w:type="spellStart"/>
      <w:r w:rsidRPr="009D50BC">
        <w:rPr>
          <w:color w:val="000000" w:themeColor="text1"/>
          <w:lang w:bidi="ar-SA"/>
        </w:rPr>
        <w:t>Dowty</w:t>
      </w:r>
      <w:proofErr w:type="spellEnd"/>
      <w:r w:rsidRPr="009D50BC">
        <w:rPr>
          <w:color w:val="000000" w:themeColor="text1"/>
          <w:lang w:bidi="ar-SA"/>
        </w:rPr>
        <w:t xml:space="preserve">, Menachem </w:t>
      </w:r>
      <w:proofErr w:type="spellStart"/>
      <w:r w:rsidRPr="009D50BC">
        <w:rPr>
          <w:color w:val="000000" w:themeColor="text1"/>
          <w:lang w:bidi="ar-SA"/>
        </w:rPr>
        <w:t>Hofnung</w:t>
      </w:r>
      <w:proofErr w:type="spellEnd"/>
      <w:r w:rsidRPr="009D50BC">
        <w:rPr>
          <w:color w:val="000000" w:themeColor="text1"/>
          <w:lang w:bidi="ar-SA"/>
        </w:rPr>
        <w:t xml:space="preserve"> and Gideon </w:t>
      </w:r>
      <w:proofErr w:type="spellStart"/>
      <w:r w:rsidRPr="009D50BC">
        <w:rPr>
          <w:color w:val="000000" w:themeColor="text1"/>
          <w:lang w:bidi="ar-SA"/>
        </w:rPr>
        <w:t>Rahat</w:t>
      </w:r>
      <w:proofErr w:type="spellEnd"/>
      <w:r w:rsidRPr="009D50BC">
        <w:rPr>
          <w:color w:val="000000" w:themeColor="text1"/>
          <w:lang w:bidi="ar-SA"/>
        </w:rPr>
        <w:t xml:space="preserve">, eds. </w:t>
      </w:r>
      <w:r w:rsidRPr="001E047E">
        <w:rPr>
          <w:i/>
          <w:iCs/>
          <w:color w:val="000000" w:themeColor="text1"/>
          <w:lang w:bidi="ar-SA"/>
        </w:rPr>
        <w:t>The Oxford Handbook of Israeli Politics and Society</w:t>
      </w:r>
      <w:r w:rsidRPr="009D50BC">
        <w:rPr>
          <w:color w:val="000000" w:themeColor="text1"/>
          <w:lang w:bidi="ar-SA"/>
        </w:rPr>
        <w:t xml:space="preserve"> (New York: 2021)</w:t>
      </w:r>
    </w:p>
    <w:p w14:paraId="1A21E8DD" w14:textId="21EF175E" w:rsidR="00B45568" w:rsidRDefault="00B45568" w:rsidP="003059B7">
      <w:pPr>
        <w:pStyle w:val="Standard"/>
        <w:spacing w:after="120"/>
        <w:ind w:left="1418"/>
        <w:rPr>
          <w:color w:val="000000" w:themeColor="text1"/>
          <w:lang w:bidi="ar-SA"/>
        </w:rPr>
      </w:pPr>
    </w:p>
    <w:p w14:paraId="15829BB8" w14:textId="376C8247" w:rsidR="00B45568" w:rsidRDefault="00B45568" w:rsidP="00B45568">
      <w:pPr>
        <w:pStyle w:val="Standard"/>
        <w:spacing w:after="120"/>
        <w:rPr>
          <w:b/>
          <w:bCs/>
          <w:color w:val="000000" w:themeColor="text1"/>
          <w:lang w:bidi="ar-SA"/>
        </w:rPr>
      </w:pPr>
      <w:r w:rsidRPr="00B45568">
        <w:rPr>
          <w:b/>
          <w:bCs/>
          <w:color w:val="000000" w:themeColor="text1"/>
          <w:lang w:bidi="ar-SA"/>
        </w:rPr>
        <w:t>Earning graduate credits for this course</w:t>
      </w:r>
      <w:r w:rsidR="000718F6">
        <w:rPr>
          <w:b/>
          <w:bCs/>
          <w:color w:val="000000" w:themeColor="text1"/>
          <w:lang w:bidi="ar-SA"/>
        </w:rPr>
        <w:t>:</w:t>
      </w:r>
    </w:p>
    <w:p w14:paraId="58CEB442" w14:textId="77777777" w:rsidR="000718F6" w:rsidRPr="00B45568" w:rsidRDefault="000718F6" w:rsidP="00B45568">
      <w:pPr>
        <w:pStyle w:val="Standard"/>
        <w:spacing w:after="120"/>
        <w:rPr>
          <w:b/>
          <w:bCs/>
          <w:color w:val="000000" w:themeColor="text1"/>
          <w:lang w:bidi="ar-SA"/>
        </w:rPr>
      </w:pPr>
      <w:bookmarkStart w:id="0" w:name="_GoBack"/>
      <w:bookmarkEnd w:id="0"/>
    </w:p>
    <w:p w14:paraId="4E9CAF18" w14:textId="77777777" w:rsidR="00B45568" w:rsidRPr="00B45568" w:rsidRDefault="00B45568" w:rsidP="00B45568">
      <w:pPr>
        <w:pStyle w:val="Standard"/>
        <w:spacing w:after="120"/>
        <w:rPr>
          <w:color w:val="000000" w:themeColor="text1"/>
          <w:lang w:bidi="ar-SA"/>
        </w:rPr>
      </w:pPr>
      <w:r w:rsidRPr="00B45568">
        <w:rPr>
          <w:color w:val="000000" w:themeColor="text1"/>
          <w:lang w:bidi="ar-SA"/>
        </w:rPr>
        <w:t>o</w:t>
      </w:r>
      <w:r w:rsidRPr="00B45568">
        <w:rPr>
          <w:color w:val="000000" w:themeColor="text1"/>
          <w:lang w:bidi="ar-SA"/>
        </w:rPr>
        <w:tab/>
        <w:t xml:space="preserve">Graduate students are expected to inform the Rothberg International School at </w:t>
      </w:r>
      <w:proofErr w:type="spellStart"/>
      <w:r w:rsidRPr="00B45568">
        <w:rPr>
          <w:color w:val="000000" w:themeColor="text1"/>
          <w:lang w:bidi="ar-SA"/>
        </w:rPr>
        <w:t>rissummer@</w:t>
      </w:r>
      <w:proofErr w:type="gramStart"/>
      <w:r w:rsidRPr="00B45568">
        <w:rPr>
          <w:color w:val="000000" w:themeColor="text1"/>
          <w:lang w:bidi="ar-SA"/>
        </w:rPr>
        <w:t>savion,huji.ac.il</w:t>
      </w:r>
      <w:proofErr w:type="spellEnd"/>
      <w:proofErr w:type="gramEnd"/>
      <w:r w:rsidRPr="00B45568">
        <w:rPr>
          <w:color w:val="000000" w:themeColor="text1"/>
          <w:lang w:bidi="ar-SA"/>
        </w:rPr>
        <w:t xml:space="preserve"> of their interest in earning graduate credits for their summer course(s).</w:t>
      </w:r>
    </w:p>
    <w:p w14:paraId="6BF60FF8" w14:textId="77777777" w:rsidR="00B45568" w:rsidRPr="00B45568" w:rsidRDefault="00B45568" w:rsidP="00B45568">
      <w:pPr>
        <w:pStyle w:val="Standard"/>
        <w:spacing w:after="120"/>
        <w:rPr>
          <w:color w:val="000000" w:themeColor="text1"/>
          <w:lang w:bidi="ar-SA"/>
        </w:rPr>
      </w:pPr>
      <w:r w:rsidRPr="00B45568">
        <w:rPr>
          <w:color w:val="000000" w:themeColor="text1"/>
          <w:lang w:bidi="ar-SA"/>
        </w:rPr>
        <w:t>o</w:t>
      </w:r>
      <w:r w:rsidRPr="00B45568">
        <w:rPr>
          <w:color w:val="000000" w:themeColor="text1"/>
          <w:lang w:bidi="ar-SA"/>
        </w:rPr>
        <w:tab/>
        <w:t>Graduate students must complete a 25-page, double-spaced, seminar paper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14:paraId="59CF9EA5" w14:textId="77777777" w:rsidR="00B45568" w:rsidRPr="00B45568" w:rsidRDefault="00B45568" w:rsidP="00B45568">
      <w:pPr>
        <w:pStyle w:val="Standard"/>
        <w:spacing w:after="120"/>
        <w:rPr>
          <w:color w:val="000000" w:themeColor="text1"/>
          <w:lang w:bidi="ar-SA"/>
        </w:rPr>
      </w:pPr>
      <w:r w:rsidRPr="00B45568">
        <w:rPr>
          <w:color w:val="000000" w:themeColor="text1"/>
          <w:lang w:bidi="ar-SA"/>
        </w:rPr>
        <w:t>o</w:t>
      </w:r>
      <w:r w:rsidRPr="00B45568">
        <w:rPr>
          <w:color w:val="000000" w:themeColor="text1"/>
          <w:lang w:bidi="ar-SA"/>
        </w:rPr>
        <w:tab/>
      </w:r>
      <w:proofErr w:type="gramStart"/>
      <w:r w:rsidRPr="00B45568">
        <w:rPr>
          <w:color w:val="000000" w:themeColor="text1"/>
          <w:lang w:bidi="ar-SA"/>
        </w:rPr>
        <w:t>The</w:t>
      </w:r>
      <w:proofErr w:type="gramEnd"/>
      <w:r w:rsidRPr="00B45568">
        <w:rPr>
          <w:color w:val="000000" w:themeColor="text1"/>
          <w:lang w:bidi="ar-SA"/>
        </w:rPr>
        <w:t xml:space="preserve"> seminar paper must make use of at least five scholarly sources (books or academic articles), in addition to Internet resources.</w:t>
      </w:r>
    </w:p>
    <w:p w14:paraId="6C6023A6" w14:textId="0D05FC08" w:rsidR="00B45568" w:rsidRDefault="00B45568" w:rsidP="00B45568">
      <w:pPr>
        <w:pStyle w:val="Standard"/>
        <w:spacing w:after="120"/>
        <w:rPr>
          <w:color w:val="000000" w:themeColor="text1"/>
          <w:lang w:bidi="ar-SA"/>
        </w:rPr>
      </w:pPr>
      <w:r w:rsidRPr="00B45568">
        <w:rPr>
          <w:color w:val="000000" w:themeColor="text1"/>
          <w:lang w:bidi="ar-SA"/>
        </w:rPr>
        <w:t>o</w:t>
      </w:r>
      <w:r w:rsidRPr="00B45568">
        <w:rPr>
          <w:color w:val="000000" w:themeColor="text1"/>
          <w:lang w:bidi="ar-SA"/>
        </w:rPr>
        <w:tab/>
      </w:r>
      <w:proofErr w:type="gramStart"/>
      <w:r w:rsidRPr="00B45568">
        <w:rPr>
          <w:color w:val="000000" w:themeColor="text1"/>
          <w:lang w:bidi="ar-SA"/>
        </w:rPr>
        <w:t>The</w:t>
      </w:r>
      <w:proofErr w:type="gramEnd"/>
      <w:r w:rsidRPr="00B45568">
        <w:rPr>
          <w:color w:val="000000" w:themeColor="text1"/>
          <w:lang w:bidi="ar-SA"/>
        </w:rPr>
        <w:t xml:space="preserve"> graduate seminar papers must be submitted within 2 months following the course completion.</w:t>
      </w:r>
    </w:p>
    <w:p w14:paraId="42280DFF" w14:textId="77777777" w:rsidR="00B45568" w:rsidRPr="009D50BC" w:rsidRDefault="00B45568" w:rsidP="003059B7">
      <w:pPr>
        <w:pStyle w:val="Standard"/>
        <w:spacing w:after="120"/>
        <w:ind w:left="1418"/>
        <w:rPr>
          <w:color w:val="000000" w:themeColor="text1"/>
          <w:lang w:bidi="ar-SA"/>
        </w:rPr>
      </w:pPr>
    </w:p>
    <w:p w14:paraId="7854A04E" w14:textId="77777777" w:rsidR="00B41614" w:rsidRDefault="000718F6">
      <w:pPr>
        <w:pStyle w:val="Standard"/>
        <w:jc w:val="center"/>
      </w:pPr>
      <w:hyperlink r:id="rId9" w:history="1">
        <w:r w:rsidR="00416AF1">
          <w:rPr>
            <w:rStyle w:val="Internetlink"/>
            <w:b/>
            <w:bCs/>
            <w:color w:val="800080"/>
            <w:sz w:val="32"/>
            <w:szCs w:val="32"/>
          </w:rPr>
          <w:t>Reading List</w:t>
        </w:r>
      </w:hyperlink>
    </w:p>
    <w:p w14:paraId="6196CBF7" w14:textId="77777777" w:rsidR="00B41614" w:rsidRDefault="00B41614">
      <w:pPr>
        <w:pStyle w:val="Standard"/>
        <w:jc w:val="center"/>
        <w:rPr>
          <w:b/>
          <w:bCs/>
          <w:lang w:bidi="ar-SA"/>
        </w:rPr>
      </w:pPr>
    </w:p>
    <w:p w14:paraId="5ACA479F" w14:textId="39A27B73" w:rsidR="006C4131" w:rsidRDefault="006C4131">
      <w:pPr>
        <w:bidi w:val="0"/>
        <w:rPr>
          <w:b/>
          <w:bCs/>
          <w:sz w:val="24"/>
          <w:szCs w:val="24"/>
          <w:lang w:bidi="ar-SA"/>
        </w:rPr>
      </w:pPr>
    </w:p>
    <w:p w14:paraId="711BB7D7" w14:textId="41CFC521" w:rsidR="00B41614" w:rsidRDefault="00416AF1">
      <w:pPr>
        <w:pStyle w:val="Standard"/>
        <w:jc w:val="center"/>
        <w:rPr>
          <w:b/>
          <w:bCs/>
          <w:lang w:bidi="ar-SA"/>
        </w:rPr>
      </w:pPr>
      <w:r>
        <w:rPr>
          <w:b/>
          <w:bCs/>
          <w:lang w:bidi="ar-SA"/>
        </w:rPr>
        <w:t>Course Outline</w:t>
      </w:r>
    </w:p>
    <w:p w14:paraId="4F68AFA3" w14:textId="77777777" w:rsidR="00B41614" w:rsidRDefault="00416AF1">
      <w:pPr>
        <w:pStyle w:val="Standard"/>
        <w:rPr>
          <w:lang w:bidi="ar-SA"/>
        </w:rPr>
      </w:pPr>
      <w:r>
        <w:rPr>
          <w:lang w:bidi="ar-SA"/>
        </w:rPr>
        <w:t>Required readings are marked with an asterisk.</w:t>
      </w:r>
    </w:p>
    <w:p w14:paraId="7E26D5DB" w14:textId="77777777" w:rsidR="00B41614" w:rsidRDefault="00416AF1">
      <w:pPr>
        <w:pStyle w:val="Standard"/>
        <w:rPr>
          <w:b/>
          <w:bCs/>
          <w:lang w:bidi="ar-SA"/>
        </w:rPr>
      </w:pPr>
      <w:r>
        <w:rPr>
          <w:b/>
          <w:bCs/>
          <w:lang w:bidi="ar-SA"/>
        </w:rPr>
        <w:t> </w:t>
      </w:r>
    </w:p>
    <w:p w14:paraId="32E72400" w14:textId="75D9AD2A" w:rsidR="00B41614" w:rsidRDefault="00416AF1" w:rsidP="00B87F57">
      <w:pPr>
        <w:pStyle w:val="Standard"/>
        <w:ind w:left="630" w:hanging="720"/>
      </w:pPr>
      <w:r>
        <w:rPr>
          <w:lang w:bidi="ar-SA"/>
        </w:rPr>
        <w:t>1.</w:t>
      </w:r>
      <w:r w:rsidR="00171BC3">
        <w:rPr>
          <w:lang w:bidi="ar-SA"/>
        </w:rPr>
        <w:tab/>
      </w:r>
      <w:r>
        <w:rPr>
          <w:lang w:bidi="ar-SA"/>
        </w:rPr>
        <w:t>The Origins of Israeli Society: Formative Ideologies</w:t>
      </w:r>
    </w:p>
    <w:p w14:paraId="685CEE23" w14:textId="77777777" w:rsidR="00B41614" w:rsidRDefault="00416AF1" w:rsidP="00B87F57">
      <w:pPr>
        <w:pStyle w:val="Standard"/>
        <w:ind w:left="630" w:hanging="720"/>
      </w:pPr>
      <w:r>
        <w:rPr>
          <w:lang w:bidi="ar-SA"/>
        </w:rPr>
        <w:t xml:space="preserve">*Gideon </w:t>
      </w:r>
      <w:proofErr w:type="spellStart"/>
      <w:r>
        <w:rPr>
          <w:lang w:bidi="ar-SA"/>
        </w:rPr>
        <w:t>Shimoni</w:t>
      </w:r>
      <w:proofErr w:type="spellEnd"/>
      <w:r>
        <w:rPr>
          <w:lang w:bidi="ar-SA"/>
        </w:rPr>
        <w:t xml:space="preserve">, “Ideological Perspectives” in Moshe Davis, ed. </w:t>
      </w:r>
      <w:r>
        <w:rPr>
          <w:i/>
          <w:iCs/>
          <w:lang w:bidi="ar-SA"/>
        </w:rPr>
        <w:t>Zionism in Transition</w:t>
      </w:r>
      <w:r>
        <w:rPr>
          <w:lang w:bidi="ar-SA"/>
        </w:rPr>
        <w:t xml:space="preserve"> (New York: 1980): pp. 3-42. </w:t>
      </w:r>
      <w:r>
        <w:rPr>
          <w:b/>
          <w:bCs/>
        </w:rPr>
        <w:t xml:space="preserve">Overseas Library </w:t>
      </w:r>
      <w:r>
        <w:rPr>
          <w:b/>
          <w:bCs/>
          <w:lang w:bidi="ar-SA"/>
        </w:rPr>
        <w:t>933.632 D</w:t>
      </w:r>
      <w:proofErr w:type="gramStart"/>
      <w:r>
        <w:rPr>
          <w:b/>
          <w:bCs/>
          <w:lang w:bidi="ar-SA"/>
        </w:rPr>
        <w:t>263;  ERESERVE</w:t>
      </w:r>
      <w:proofErr w:type="gramEnd"/>
    </w:p>
    <w:p w14:paraId="41E5AD3F" w14:textId="09731426" w:rsidR="00B41614" w:rsidRDefault="00416AF1" w:rsidP="00B87F57">
      <w:pPr>
        <w:pStyle w:val="Standard"/>
        <w:ind w:left="630" w:hanging="720"/>
        <w:rPr>
          <w:lang w:bidi="ar-SA"/>
        </w:rPr>
      </w:pPr>
      <w:r>
        <w:rPr>
          <w:b/>
          <w:bCs/>
          <w:lang w:bidi="ar-SA"/>
        </w:rPr>
        <w:t> </w:t>
      </w:r>
    </w:p>
    <w:p w14:paraId="2334199D" w14:textId="1D5CEB60" w:rsidR="00B41614" w:rsidRDefault="00416AF1" w:rsidP="00B87F57">
      <w:pPr>
        <w:pStyle w:val="Standard"/>
        <w:ind w:left="630" w:hanging="720"/>
      </w:pPr>
      <w:r>
        <w:rPr>
          <w:lang w:bidi="ar-SA"/>
        </w:rPr>
        <w:t>2.</w:t>
      </w:r>
      <w:r w:rsidR="00171BC3">
        <w:rPr>
          <w:sz w:val="14"/>
          <w:szCs w:val="14"/>
          <w:lang w:bidi="ar-SA"/>
        </w:rPr>
        <w:tab/>
      </w:r>
      <w:r>
        <w:rPr>
          <w:lang w:bidi="ar-SA"/>
        </w:rPr>
        <w:t>The Origins of Israeli Society: Waves of Immigration</w:t>
      </w:r>
    </w:p>
    <w:p w14:paraId="20C759B4" w14:textId="2FFC6525" w:rsidR="00B41614" w:rsidRDefault="00416AF1" w:rsidP="00B87F57">
      <w:pPr>
        <w:pStyle w:val="Standard"/>
        <w:ind w:left="630" w:hanging="720"/>
      </w:pPr>
      <w:r>
        <w:rPr>
          <w:lang w:bidi="ar-SA"/>
        </w:rPr>
        <w:t>*</w:t>
      </w:r>
      <w:r w:rsidR="00052B3B" w:rsidRPr="00052B3B">
        <w:rPr>
          <w:lang w:bidi="ar-SA"/>
        </w:rPr>
        <w:t xml:space="preserve"> </w:t>
      </w:r>
      <w:r w:rsidR="00052B3B">
        <w:rPr>
          <w:lang w:bidi="ar-SA"/>
        </w:rPr>
        <w:t xml:space="preserve">Asher Arian, “People of Israel” in </w:t>
      </w:r>
      <w:r w:rsidR="00052B3B">
        <w:rPr>
          <w:i/>
          <w:iCs/>
          <w:lang w:bidi="ar-SA"/>
        </w:rPr>
        <w:t>Politics in Israel: The Second Republic</w:t>
      </w:r>
      <w:r w:rsidR="00052B3B">
        <w:rPr>
          <w:lang w:bidi="ar-SA"/>
        </w:rPr>
        <w:t>, 2d ed.</w:t>
      </w:r>
      <w:r w:rsidR="00052B3B">
        <w:rPr>
          <w:i/>
          <w:iCs/>
          <w:lang w:bidi="ar-SA"/>
        </w:rPr>
        <w:t xml:space="preserve"> </w:t>
      </w:r>
      <w:r w:rsidR="00052B3B">
        <w:rPr>
          <w:lang w:bidi="ar-SA"/>
        </w:rPr>
        <w:t xml:space="preserve">(Washington, D.C.: 2005), </w:t>
      </w:r>
      <w:r>
        <w:rPr>
          <w:lang w:bidi="ar-SA"/>
        </w:rPr>
        <w:t xml:space="preserve">pp. 19-47. </w:t>
      </w:r>
      <w:r>
        <w:rPr>
          <w:b/>
          <w:bCs/>
        </w:rPr>
        <w:t xml:space="preserve">Overseas Library </w:t>
      </w:r>
      <w:r>
        <w:rPr>
          <w:b/>
          <w:bCs/>
          <w:lang w:bidi="ar-SA"/>
        </w:rPr>
        <w:t>E329 A696; ERESERVE</w:t>
      </w:r>
    </w:p>
    <w:p w14:paraId="1AC914AD" w14:textId="77777777" w:rsidR="00B41614" w:rsidRDefault="00B41614" w:rsidP="00B87F57">
      <w:pPr>
        <w:pStyle w:val="Standard"/>
        <w:ind w:left="630" w:hanging="720"/>
        <w:rPr>
          <w:lang w:bidi="ar-SA"/>
        </w:rPr>
      </w:pPr>
    </w:p>
    <w:p w14:paraId="2F2AF2DC" w14:textId="1ED329F5" w:rsidR="00B41614" w:rsidRDefault="00416AF1" w:rsidP="00B87F57">
      <w:pPr>
        <w:pStyle w:val="Standard"/>
        <w:ind w:left="630" w:hanging="720"/>
        <w:rPr>
          <w:lang w:bidi="ar-SA"/>
        </w:rPr>
      </w:pPr>
      <w:r>
        <w:rPr>
          <w:lang w:bidi="ar-SA"/>
        </w:rPr>
        <w:t>3.</w:t>
      </w:r>
      <w:r w:rsidR="00171BC3">
        <w:rPr>
          <w:lang w:bidi="ar-SA"/>
        </w:rPr>
        <w:tab/>
      </w:r>
      <w:r>
        <w:rPr>
          <w:lang w:bidi="ar-SA"/>
        </w:rPr>
        <w:t>The Origins of Israeli Society: The Creation of a Political Entity</w:t>
      </w:r>
    </w:p>
    <w:p w14:paraId="1DB3BCBD" w14:textId="77777777" w:rsidR="00B41614" w:rsidRDefault="00416AF1" w:rsidP="00B87F57">
      <w:pPr>
        <w:pStyle w:val="Standard"/>
        <w:ind w:left="630" w:hanging="720"/>
      </w:pPr>
      <w:r>
        <w:rPr>
          <w:lang w:bidi="ar-SA"/>
        </w:rPr>
        <w:t xml:space="preserve">*Peter </w:t>
      </w:r>
      <w:proofErr w:type="spellStart"/>
      <w:r>
        <w:rPr>
          <w:lang w:bidi="ar-SA"/>
        </w:rPr>
        <w:t>Medding</w:t>
      </w:r>
      <w:proofErr w:type="spellEnd"/>
      <w:r>
        <w:rPr>
          <w:lang w:bidi="ar-SA"/>
        </w:rPr>
        <w:t xml:space="preserve">, “Founding an Independent State”, “Founding Democratic Political Structures” in </w:t>
      </w:r>
      <w:r>
        <w:rPr>
          <w:i/>
          <w:iCs/>
          <w:lang w:bidi="ar-SA"/>
        </w:rPr>
        <w:t>The Founding of Israeli Democracy, 1948-1967</w:t>
      </w:r>
      <w:r>
        <w:rPr>
          <w:lang w:bidi="ar-SA"/>
        </w:rPr>
        <w:t xml:space="preserve"> (New York: 1990): pp. 8-42. </w:t>
      </w:r>
      <w:r>
        <w:rPr>
          <w:b/>
          <w:bCs/>
        </w:rPr>
        <w:t xml:space="preserve">Overseas Library </w:t>
      </w:r>
      <w:r>
        <w:rPr>
          <w:b/>
          <w:bCs/>
          <w:lang w:bidi="ar-SA"/>
        </w:rPr>
        <w:t>E320.9 M488; E-BOOK</w:t>
      </w:r>
    </w:p>
    <w:p w14:paraId="135C57D5" w14:textId="4BE1E709" w:rsidR="00B41614" w:rsidRDefault="00416AF1" w:rsidP="00B87F57">
      <w:pPr>
        <w:pStyle w:val="Standard"/>
        <w:ind w:left="630" w:hanging="720"/>
      </w:pPr>
      <w:r>
        <w:rPr>
          <w:lang w:bidi="ar-SA"/>
        </w:rPr>
        <w:t xml:space="preserve">*“The Proclamation of the State of Israel” pp. 12-15. “First Knesset – The Law of Return” p.  40. “First Knesset - The Debate on a Constitution” pp. 41-47 in </w:t>
      </w:r>
      <w:proofErr w:type="spellStart"/>
      <w:r w:rsidR="0059005D">
        <w:t>Itamar</w:t>
      </w:r>
      <w:proofErr w:type="spellEnd"/>
      <w:r w:rsidR="0059005D">
        <w:t xml:space="preserve"> Rabinovich and </w:t>
      </w:r>
      <w:proofErr w:type="spellStart"/>
      <w:r w:rsidR="0059005D">
        <w:t>Jehuda</w:t>
      </w:r>
      <w:proofErr w:type="spellEnd"/>
      <w:r w:rsidR="0059005D">
        <w:t xml:space="preserve"> </w:t>
      </w:r>
      <w:proofErr w:type="spellStart"/>
      <w:r w:rsidR="0059005D">
        <w:t>Reinharz</w:t>
      </w:r>
      <w:proofErr w:type="spellEnd"/>
      <w:r w:rsidR="0059005D">
        <w:t xml:space="preserve">, eds., </w:t>
      </w:r>
      <w:r w:rsidR="0059005D">
        <w:rPr>
          <w:i/>
          <w:iCs/>
        </w:rPr>
        <w:t>Israel in the Middle East</w:t>
      </w:r>
      <w:r w:rsidR="0059005D">
        <w:t>:</w:t>
      </w:r>
      <w:r w:rsidR="0059005D">
        <w:rPr>
          <w:i/>
          <w:iCs/>
        </w:rPr>
        <w:t xml:space="preserve"> Documents and Readings on Society, Politics and Foreign Relations, Pre-1948 to the Present</w:t>
      </w:r>
      <w:r w:rsidR="0059005D">
        <w:t xml:space="preserve"> (Hanover and London: 2008)</w:t>
      </w:r>
      <w:r>
        <w:rPr>
          <w:i/>
          <w:iCs/>
          <w:lang w:bidi="ar-SA"/>
        </w:rPr>
        <w:t xml:space="preserve">. </w:t>
      </w:r>
      <w:r>
        <w:rPr>
          <w:lang w:bidi="ar-SA"/>
        </w:rPr>
        <w:t xml:space="preserve"> </w:t>
      </w:r>
      <w:r>
        <w:rPr>
          <w:b/>
          <w:bCs/>
        </w:rPr>
        <w:t xml:space="preserve">Overseas Library </w:t>
      </w:r>
      <w:r>
        <w:rPr>
          <w:b/>
          <w:bCs/>
          <w:lang w:bidi="ar-SA"/>
        </w:rPr>
        <w:t>E990(029) R116; ERESERVE</w:t>
      </w:r>
    </w:p>
    <w:p w14:paraId="58A2508F" w14:textId="77777777" w:rsidR="00B41614" w:rsidRDefault="00416AF1" w:rsidP="00B87F57">
      <w:pPr>
        <w:pStyle w:val="Standard"/>
        <w:ind w:left="630" w:hanging="720"/>
        <w:rPr>
          <w:lang w:bidi="ar-SA"/>
        </w:rPr>
      </w:pPr>
      <w:r>
        <w:rPr>
          <w:lang w:bidi="ar-SA"/>
        </w:rPr>
        <w:t> </w:t>
      </w:r>
    </w:p>
    <w:p w14:paraId="65F9510B" w14:textId="3D654884" w:rsidR="00B41614" w:rsidRDefault="00010B3B" w:rsidP="00B87F57">
      <w:pPr>
        <w:pStyle w:val="Standard"/>
        <w:ind w:left="630" w:hanging="720"/>
        <w:rPr>
          <w:lang w:bidi="ar-SA"/>
        </w:rPr>
      </w:pPr>
      <w:r>
        <w:rPr>
          <w:lang w:bidi="ar-SA"/>
        </w:rPr>
        <w:t>4-</w:t>
      </w:r>
      <w:r w:rsidR="00416AF1">
        <w:rPr>
          <w:lang w:bidi="ar-SA"/>
        </w:rPr>
        <w:t>5.</w:t>
      </w:r>
      <w:r w:rsidR="00184ADA">
        <w:rPr>
          <w:lang w:bidi="ar-SA"/>
        </w:rPr>
        <w:t xml:space="preserve"> </w:t>
      </w:r>
      <w:r w:rsidR="00664A8D">
        <w:rPr>
          <w:lang w:bidi="ar-SA"/>
        </w:rPr>
        <w:t xml:space="preserve">The Mass Immigration, </w:t>
      </w:r>
      <w:r w:rsidR="00416AF1">
        <w:rPr>
          <w:lang w:bidi="ar-SA"/>
        </w:rPr>
        <w:t>Ethnicity and the Socio-Economic Gap in Israel</w:t>
      </w:r>
    </w:p>
    <w:p w14:paraId="06DB9736" w14:textId="46715D75" w:rsidR="00C87409" w:rsidRPr="009D50BC" w:rsidRDefault="00C87409" w:rsidP="00B87F57">
      <w:pPr>
        <w:pStyle w:val="Standard"/>
        <w:ind w:left="630" w:hanging="720"/>
        <w:rPr>
          <w:color w:val="000000" w:themeColor="text1"/>
          <w:lang w:bidi="ar-SA"/>
        </w:rPr>
      </w:pPr>
      <w:r w:rsidRPr="009D50BC">
        <w:rPr>
          <w:color w:val="000000" w:themeColor="text1"/>
          <w:lang w:bidi="ar-SA"/>
        </w:rPr>
        <w:t xml:space="preserve">*Sammy </w:t>
      </w:r>
      <w:proofErr w:type="spellStart"/>
      <w:r w:rsidRPr="009D50BC">
        <w:rPr>
          <w:color w:val="000000" w:themeColor="text1"/>
          <w:lang w:bidi="ar-SA"/>
        </w:rPr>
        <w:t>Smooha</w:t>
      </w:r>
      <w:proofErr w:type="spellEnd"/>
      <w:r w:rsidRPr="009D50BC">
        <w:rPr>
          <w:color w:val="000000" w:themeColor="text1"/>
          <w:lang w:bidi="ar-SA"/>
        </w:rPr>
        <w:t xml:space="preserve">, “The Jewish Ethnic Divide and Ethnic Politics in Israel,” in </w:t>
      </w:r>
      <w:r w:rsidRPr="009D50BC">
        <w:rPr>
          <w:i/>
          <w:iCs/>
          <w:color w:val="000000" w:themeColor="text1"/>
          <w:lang w:bidi="ar-SA"/>
        </w:rPr>
        <w:t>The Oxford Handbook of Israeli Politics and Society</w:t>
      </w:r>
      <w:r w:rsidRPr="009D50BC">
        <w:rPr>
          <w:color w:val="000000" w:themeColor="text1"/>
          <w:lang w:bidi="ar-SA"/>
        </w:rPr>
        <w:t>.</w:t>
      </w:r>
    </w:p>
    <w:p w14:paraId="28A6FDB2" w14:textId="521EE8F3" w:rsidR="00B41614" w:rsidRDefault="00416AF1" w:rsidP="00B87F57">
      <w:pPr>
        <w:pStyle w:val="Standard"/>
        <w:ind w:left="630" w:hanging="720"/>
      </w:pPr>
      <w:r w:rsidRPr="009D50BC">
        <w:rPr>
          <w:color w:val="000000" w:themeColor="text1"/>
          <w:lang w:bidi="ar-SA"/>
        </w:rPr>
        <w:lastRenderedPageBreak/>
        <w:t xml:space="preserve">*Sammy </w:t>
      </w:r>
      <w:proofErr w:type="spellStart"/>
      <w:r w:rsidRPr="009D50BC">
        <w:rPr>
          <w:color w:val="000000" w:themeColor="text1"/>
          <w:lang w:bidi="ar-SA"/>
        </w:rPr>
        <w:t>Smooha</w:t>
      </w:r>
      <w:proofErr w:type="spellEnd"/>
      <w:r w:rsidRPr="009D50BC">
        <w:rPr>
          <w:color w:val="000000" w:themeColor="text1"/>
          <w:lang w:bidi="ar-SA"/>
        </w:rPr>
        <w:t>, “The Mass Immigrations to Israel: </w:t>
      </w:r>
      <w:proofErr w:type="gramStart"/>
      <w:r w:rsidRPr="009D50BC">
        <w:rPr>
          <w:color w:val="000000" w:themeColor="text1"/>
          <w:lang w:bidi="ar-SA"/>
        </w:rPr>
        <w:t>a</w:t>
      </w:r>
      <w:proofErr w:type="gramEnd"/>
      <w:r w:rsidRPr="009D50BC">
        <w:rPr>
          <w:color w:val="000000" w:themeColor="text1"/>
          <w:lang w:bidi="ar-SA"/>
        </w:rPr>
        <w:t xml:space="preserve"> Comparison of the Failure of the Mizrahi Immigrants of the 1950s with the Success of the Russian Immigrants of the 1990s,” </w:t>
      </w:r>
      <w:r w:rsidRPr="009D50BC">
        <w:rPr>
          <w:i/>
          <w:iCs/>
          <w:color w:val="000000" w:themeColor="text1"/>
          <w:lang w:bidi="ar-SA"/>
        </w:rPr>
        <w:t xml:space="preserve">Journal </w:t>
      </w:r>
      <w:r>
        <w:rPr>
          <w:i/>
          <w:iCs/>
          <w:lang w:bidi="ar-SA"/>
        </w:rPr>
        <w:t>of Israeli History</w:t>
      </w:r>
      <w:r>
        <w:rPr>
          <w:lang w:bidi="ar-SA"/>
        </w:rPr>
        <w:t xml:space="preserve"> 27:1 (2008): pp.1-27. </w:t>
      </w:r>
      <w:r>
        <w:rPr>
          <w:b/>
          <w:bCs/>
          <w:lang w:bidi="ar-SA"/>
        </w:rPr>
        <w:t>E-JOURNAL</w:t>
      </w:r>
    </w:p>
    <w:p w14:paraId="295F6251" w14:textId="5269088B" w:rsidR="00B41614" w:rsidRPr="00EB0755" w:rsidRDefault="00B41614" w:rsidP="00B87F57">
      <w:pPr>
        <w:pStyle w:val="Standard"/>
        <w:ind w:left="630" w:hanging="720"/>
        <w:rPr>
          <w:b/>
          <w:bCs/>
          <w:lang w:bidi="ar-SA"/>
        </w:rPr>
      </w:pPr>
    </w:p>
    <w:p w14:paraId="4B4B904C" w14:textId="04074271" w:rsidR="00B41614" w:rsidRDefault="00010B3B" w:rsidP="00B87F57">
      <w:pPr>
        <w:pStyle w:val="Standard"/>
        <w:ind w:left="630" w:hanging="720"/>
      </w:pPr>
      <w:r>
        <w:rPr>
          <w:lang w:bidi="ar-SA"/>
        </w:rPr>
        <w:t>6</w:t>
      </w:r>
      <w:r w:rsidR="00416AF1">
        <w:rPr>
          <w:lang w:bidi="ar-SA"/>
        </w:rPr>
        <w:t>.</w:t>
      </w:r>
      <w:r w:rsidR="00416AF1">
        <w:rPr>
          <w:sz w:val="14"/>
          <w:szCs w:val="14"/>
          <w:lang w:bidi="ar-SA"/>
        </w:rPr>
        <w:tab/>
      </w:r>
      <w:r w:rsidR="0049702C">
        <w:rPr>
          <w:lang w:bidi="ar-SA"/>
        </w:rPr>
        <w:t>Immigration during the 1990s</w:t>
      </w:r>
    </w:p>
    <w:p w14:paraId="2CEB8967" w14:textId="34CADBA9" w:rsidR="00B41614" w:rsidRPr="009D50BC" w:rsidRDefault="00416AF1" w:rsidP="00B87F57">
      <w:pPr>
        <w:pStyle w:val="Standard"/>
        <w:ind w:left="630" w:hanging="720"/>
        <w:rPr>
          <w:b/>
          <w:bCs/>
          <w:color w:val="000000" w:themeColor="text1"/>
          <w:lang w:bidi="ar-SA"/>
        </w:rPr>
      </w:pPr>
      <w:r>
        <w:rPr>
          <w:lang w:bidi="ar-SA"/>
        </w:rPr>
        <w:t xml:space="preserve">*Zvi </w:t>
      </w:r>
      <w:proofErr w:type="spellStart"/>
      <w:r>
        <w:rPr>
          <w:lang w:bidi="ar-SA"/>
        </w:rPr>
        <w:t>Gitelman</w:t>
      </w:r>
      <w:proofErr w:type="spellEnd"/>
      <w:r>
        <w:rPr>
          <w:lang w:bidi="ar-SA"/>
        </w:rPr>
        <w:t xml:space="preserve">, “The ‘Russian Revolution’ in Israel,” in Alan </w:t>
      </w:r>
      <w:proofErr w:type="spellStart"/>
      <w:r>
        <w:rPr>
          <w:lang w:bidi="ar-SA"/>
        </w:rPr>
        <w:t>Dowty</w:t>
      </w:r>
      <w:proofErr w:type="spellEnd"/>
      <w:r>
        <w:rPr>
          <w:lang w:bidi="ar-SA"/>
        </w:rPr>
        <w:t xml:space="preserve">, ed., </w:t>
      </w:r>
      <w:r>
        <w:rPr>
          <w:i/>
          <w:iCs/>
          <w:lang w:bidi="ar-SA"/>
        </w:rPr>
        <w:t>Critical Issues in Israeli Society</w:t>
      </w:r>
      <w:r w:rsidR="00052B3B">
        <w:rPr>
          <w:lang w:bidi="ar-SA"/>
        </w:rPr>
        <w:t xml:space="preserve"> (Westport, Connecticut: 2004) </w:t>
      </w:r>
      <w:r>
        <w:rPr>
          <w:lang w:bidi="ar-SA"/>
        </w:rPr>
        <w:t xml:space="preserve">pp. 95-108. </w:t>
      </w:r>
      <w:r>
        <w:rPr>
          <w:b/>
          <w:bCs/>
          <w:lang w:bidi="ar-SA"/>
        </w:rPr>
        <w:t xml:space="preserve">Overseas Library </w:t>
      </w:r>
      <w:r w:rsidRPr="009D50BC">
        <w:rPr>
          <w:b/>
          <w:bCs/>
          <w:color w:val="000000" w:themeColor="text1"/>
          <w:lang w:bidi="ar-SA"/>
        </w:rPr>
        <w:t>E320.9 D752; E-BOOK</w:t>
      </w:r>
    </w:p>
    <w:p w14:paraId="7743DBEE" w14:textId="57539D16" w:rsidR="00434DED" w:rsidRPr="009D50BC" w:rsidRDefault="00434DED" w:rsidP="00B87F57">
      <w:pPr>
        <w:pStyle w:val="Standard"/>
        <w:ind w:left="630" w:hanging="720"/>
        <w:rPr>
          <w:color w:val="000000" w:themeColor="text1"/>
        </w:rPr>
      </w:pPr>
      <w:r w:rsidRPr="009D50BC">
        <w:rPr>
          <w:color w:val="000000" w:themeColor="text1"/>
        </w:rPr>
        <w:t>*</w:t>
      </w:r>
      <w:proofErr w:type="spellStart"/>
      <w:r w:rsidRPr="009D50BC">
        <w:rPr>
          <w:color w:val="000000" w:themeColor="text1"/>
        </w:rPr>
        <w:t>Adane</w:t>
      </w:r>
      <w:proofErr w:type="spellEnd"/>
      <w:r w:rsidRPr="009D50BC">
        <w:rPr>
          <w:color w:val="000000" w:themeColor="text1"/>
        </w:rPr>
        <w:t xml:space="preserve"> </w:t>
      </w:r>
      <w:proofErr w:type="spellStart"/>
      <w:r w:rsidRPr="009D50BC">
        <w:rPr>
          <w:color w:val="000000" w:themeColor="text1"/>
        </w:rPr>
        <w:t>Zawdu</w:t>
      </w:r>
      <w:proofErr w:type="spellEnd"/>
      <w:r w:rsidRPr="009D50BC">
        <w:rPr>
          <w:color w:val="000000" w:themeColor="text1"/>
        </w:rPr>
        <w:t xml:space="preserve"> and Sarah S. </w:t>
      </w:r>
      <w:proofErr w:type="spellStart"/>
      <w:r w:rsidRPr="009D50BC">
        <w:rPr>
          <w:color w:val="000000" w:themeColor="text1"/>
        </w:rPr>
        <w:t>Willen</w:t>
      </w:r>
      <w:proofErr w:type="spellEnd"/>
      <w:r w:rsidRPr="009D50BC">
        <w:rPr>
          <w:color w:val="000000" w:themeColor="text1"/>
        </w:rPr>
        <w:t xml:space="preserve">, “Immigration Dynamics and Changing Constructions of Jewish </w:t>
      </w:r>
      <w:proofErr w:type="spellStart"/>
      <w:r w:rsidRPr="009D50BC">
        <w:rPr>
          <w:color w:val="000000" w:themeColor="text1"/>
        </w:rPr>
        <w:t>Nativeness</w:t>
      </w:r>
      <w:proofErr w:type="spellEnd"/>
      <w:r w:rsidRPr="009D50BC">
        <w:rPr>
          <w:color w:val="000000" w:themeColor="text1"/>
        </w:rPr>
        <w:t xml:space="preserve"> in Israel,” </w:t>
      </w:r>
      <w:r w:rsidRPr="009D50BC">
        <w:rPr>
          <w:color w:val="000000" w:themeColor="text1"/>
          <w:lang w:bidi="ar-SA"/>
        </w:rPr>
        <w:t xml:space="preserve">in </w:t>
      </w:r>
      <w:r w:rsidRPr="009D50BC">
        <w:rPr>
          <w:i/>
          <w:iCs/>
          <w:color w:val="000000" w:themeColor="text1"/>
          <w:lang w:bidi="ar-SA"/>
        </w:rPr>
        <w:t>The Oxford Handbook of Israeli Politics and Society</w:t>
      </w:r>
      <w:r w:rsidRPr="009D50BC">
        <w:rPr>
          <w:color w:val="000000" w:themeColor="text1"/>
          <w:lang w:bidi="ar-SA"/>
        </w:rPr>
        <w:t>.</w:t>
      </w:r>
    </w:p>
    <w:p w14:paraId="63030D6E" w14:textId="77777777" w:rsidR="00B41614" w:rsidRDefault="00B41614" w:rsidP="00B87F57">
      <w:pPr>
        <w:pStyle w:val="Standard"/>
        <w:ind w:left="630" w:hanging="720"/>
        <w:rPr>
          <w:lang w:bidi="ar-SA"/>
        </w:rPr>
      </w:pPr>
    </w:p>
    <w:p w14:paraId="5FDE98A7" w14:textId="1FA6F68E" w:rsidR="00622F8A" w:rsidRPr="00B25C30" w:rsidRDefault="00B25C30" w:rsidP="00B87F57">
      <w:pPr>
        <w:pStyle w:val="Standard"/>
        <w:ind w:left="630" w:hanging="720"/>
        <w:rPr>
          <w:b/>
          <w:bCs/>
          <w:color w:val="000000" w:themeColor="text1"/>
          <w:lang w:bidi="ar-SA"/>
        </w:rPr>
      </w:pPr>
      <w:r w:rsidRPr="00B25C30">
        <w:rPr>
          <w:b/>
          <w:bCs/>
          <w:color w:val="000000" w:themeColor="text1"/>
          <w:lang w:bidi="ar-SA"/>
        </w:rPr>
        <w:t>Thursday</w:t>
      </w:r>
      <w:r w:rsidR="00622F8A" w:rsidRPr="00B25C30">
        <w:rPr>
          <w:b/>
          <w:bCs/>
          <w:color w:val="000000" w:themeColor="text1"/>
          <w:lang w:bidi="ar-SA"/>
        </w:rPr>
        <w:t xml:space="preserve"> July </w:t>
      </w:r>
      <w:r w:rsidRPr="00B25C30">
        <w:rPr>
          <w:b/>
          <w:bCs/>
          <w:color w:val="000000" w:themeColor="text1"/>
          <w:lang w:bidi="ar-SA"/>
        </w:rPr>
        <w:t>6</w:t>
      </w:r>
      <w:r w:rsidR="00622F8A" w:rsidRPr="00B25C30">
        <w:rPr>
          <w:b/>
          <w:bCs/>
          <w:color w:val="000000" w:themeColor="text1"/>
          <w:lang w:bidi="ar-SA"/>
        </w:rPr>
        <w:t xml:space="preserve">: Study Outing to Abu Ghosh: Visit the Community Center, </w:t>
      </w:r>
      <w:r w:rsidRPr="00B25C30">
        <w:rPr>
          <w:b/>
          <w:bCs/>
          <w:color w:val="000000" w:themeColor="text1"/>
          <w:lang w:bidi="ar-SA"/>
        </w:rPr>
        <w:t>Crusader Church, Mosque – Traditional Lunch</w:t>
      </w:r>
      <w:r>
        <w:rPr>
          <w:b/>
          <w:bCs/>
          <w:color w:val="000000" w:themeColor="text1"/>
          <w:lang w:bidi="ar-SA"/>
        </w:rPr>
        <w:t xml:space="preserve"> – </w:t>
      </w:r>
      <w:proofErr w:type="spellStart"/>
      <w:r>
        <w:rPr>
          <w:b/>
          <w:bCs/>
          <w:color w:val="000000" w:themeColor="text1"/>
          <w:lang w:bidi="ar-SA"/>
        </w:rPr>
        <w:t>Kastel</w:t>
      </w:r>
      <w:proofErr w:type="spellEnd"/>
      <w:r>
        <w:rPr>
          <w:b/>
          <w:bCs/>
          <w:color w:val="000000" w:themeColor="text1"/>
          <w:lang w:bidi="ar-SA"/>
        </w:rPr>
        <w:t xml:space="preserve">, Har Adar, </w:t>
      </w:r>
      <w:proofErr w:type="spellStart"/>
      <w:r>
        <w:rPr>
          <w:b/>
          <w:bCs/>
          <w:color w:val="000000" w:themeColor="text1"/>
          <w:lang w:bidi="ar-SA"/>
        </w:rPr>
        <w:t>Latrun</w:t>
      </w:r>
      <w:proofErr w:type="spellEnd"/>
    </w:p>
    <w:p w14:paraId="5A75448E" w14:textId="77777777" w:rsidR="00B25C30" w:rsidRDefault="00B25C30" w:rsidP="00B87F57">
      <w:pPr>
        <w:pStyle w:val="Standard"/>
        <w:ind w:left="630" w:hanging="720"/>
        <w:rPr>
          <w:color w:val="000000" w:themeColor="text1"/>
          <w:lang w:bidi="ar-SA"/>
        </w:rPr>
      </w:pPr>
    </w:p>
    <w:p w14:paraId="5FDE6760" w14:textId="16F9AD7A" w:rsidR="0049702C" w:rsidRPr="009D50BC" w:rsidRDefault="0049702C" w:rsidP="00B87F57">
      <w:pPr>
        <w:pStyle w:val="Standard"/>
        <w:ind w:left="630" w:hanging="720"/>
        <w:rPr>
          <w:color w:val="000000" w:themeColor="text1"/>
        </w:rPr>
      </w:pPr>
      <w:r>
        <w:rPr>
          <w:color w:val="000000" w:themeColor="text1"/>
          <w:lang w:bidi="ar-SA"/>
        </w:rPr>
        <w:t>7-8</w:t>
      </w:r>
      <w:r w:rsidRPr="009D50BC">
        <w:rPr>
          <w:color w:val="000000" w:themeColor="text1"/>
          <w:lang w:bidi="ar-SA"/>
        </w:rPr>
        <w:t>.</w:t>
      </w:r>
      <w:r w:rsidR="00B87F57">
        <w:rPr>
          <w:sz w:val="14"/>
          <w:szCs w:val="14"/>
          <w:lang w:bidi="ar-SA"/>
        </w:rPr>
        <w:tab/>
      </w:r>
      <w:r w:rsidRPr="009D50BC">
        <w:rPr>
          <w:color w:val="000000" w:themeColor="text1"/>
          <w:lang w:bidi="ar-SA"/>
        </w:rPr>
        <w:t>Arab Citizens in a Jewish State</w:t>
      </w:r>
    </w:p>
    <w:p w14:paraId="7230AB9C" w14:textId="77777777" w:rsidR="0049702C" w:rsidRPr="009D50BC" w:rsidRDefault="0049702C" w:rsidP="00B87F57">
      <w:pPr>
        <w:pStyle w:val="Standard"/>
        <w:ind w:left="630" w:hanging="720"/>
        <w:rPr>
          <w:color w:val="000000" w:themeColor="text1"/>
          <w:lang w:bidi="ar-SA"/>
        </w:rPr>
      </w:pPr>
      <w:r w:rsidRPr="009D50BC">
        <w:rPr>
          <w:color w:val="000000" w:themeColor="text1"/>
          <w:lang w:bidi="ar-SA"/>
        </w:rPr>
        <w:t>*</w:t>
      </w:r>
      <w:r w:rsidRPr="009D50BC">
        <w:rPr>
          <w:color w:val="000000" w:themeColor="text1"/>
        </w:rPr>
        <w:t xml:space="preserve">Itzhak </w:t>
      </w:r>
      <w:proofErr w:type="spellStart"/>
      <w:r w:rsidRPr="009D50BC">
        <w:rPr>
          <w:color w:val="000000" w:themeColor="text1"/>
        </w:rPr>
        <w:t>Galnoor</w:t>
      </w:r>
      <w:proofErr w:type="spellEnd"/>
      <w:r w:rsidRPr="009D50BC">
        <w:rPr>
          <w:color w:val="000000" w:themeColor="text1"/>
        </w:rPr>
        <w:t>, “</w:t>
      </w:r>
      <w:r w:rsidRPr="009D50BC">
        <w:rPr>
          <w:color w:val="000000" w:themeColor="text1"/>
          <w:lang w:bidi="ar-SA"/>
        </w:rPr>
        <w:t xml:space="preserve">Arab Citizens in the ‘Jewish’ State of Israel,” in </w:t>
      </w:r>
      <w:r w:rsidRPr="009D50BC">
        <w:rPr>
          <w:i/>
          <w:iCs/>
          <w:color w:val="000000" w:themeColor="text1"/>
          <w:lang w:bidi="ar-SA"/>
        </w:rPr>
        <w:t>The Oxford Handbook of Israeli Politics and Society</w:t>
      </w:r>
      <w:r w:rsidRPr="009D50BC">
        <w:rPr>
          <w:color w:val="000000" w:themeColor="text1"/>
          <w:lang w:bidi="ar-SA"/>
        </w:rPr>
        <w:t>.</w:t>
      </w:r>
    </w:p>
    <w:p w14:paraId="5034626D" w14:textId="77777777" w:rsidR="0049702C" w:rsidRPr="009D50BC" w:rsidRDefault="0049702C" w:rsidP="00B87F57">
      <w:pPr>
        <w:pStyle w:val="Standard"/>
        <w:ind w:left="630" w:hanging="720"/>
        <w:rPr>
          <w:b/>
          <w:bCs/>
          <w:color w:val="000000" w:themeColor="text1"/>
          <w:lang w:bidi="ar-SA"/>
        </w:rPr>
      </w:pPr>
      <w:r w:rsidRPr="009D50BC">
        <w:rPr>
          <w:b/>
          <w:bCs/>
          <w:color w:val="000000" w:themeColor="text1"/>
          <w:lang w:bidi="ar-SA"/>
        </w:rPr>
        <w:t> </w:t>
      </w:r>
    </w:p>
    <w:p w14:paraId="07272D13" w14:textId="7F84B262" w:rsidR="00B41614" w:rsidRDefault="00622F8A" w:rsidP="00B87F57">
      <w:pPr>
        <w:pStyle w:val="Standard"/>
        <w:ind w:left="630" w:hanging="720"/>
      </w:pPr>
      <w:r>
        <w:rPr>
          <w:lang w:bidi="ar-SA"/>
        </w:rPr>
        <w:t>9</w:t>
      </w:r>
      <w:r w:rsidR="00010B3B">
        <w:rPr>
          <w:lang w:bidi="ar-SA"/>
        </w:rPr>
        <w:t>-</w:t>
      </w:r>
      <w:r>
        <w:rPr>
          <w:lang w:bidi="ar-SA"/>
        </w:rPr>
        <w:t>10</w:t>
      </w:r>
      <w:r w:rsidR="00416AF1">
        <w:rPr>
          <w:lang w:bidi="ar-SA"/>
        </w:rPr>
        <w:t>.</w:t>
      </w:r>
      <w:r w:rsidR="00B87F57">
        <w:rPr>
          <w:sz w:val="14"/>
          <w:szCs w:val="14"/>
          <w:lang w:bidi="ar-SA"/>
        </w:rPr>
        <w:tab/>
      </w:r>
      <w:r w:rsidR="00416AF1">
        <w:rPr>
          <w:lang w:bidi="ar-SA"/>
        </w:rPr>
        <w:t>Religion and State: Politics and Legislation</w:t>
      </w:r>
    </w:p>
    <w:p w14:paraId="04F8EBE7" w14:textId="77777777" w:rsidR="00B41614" w:rsidRDefault="00416AF1" w:rsidP="00B87F57">
      <w:pPr>
        <w:pStyle w:val="Standard"/>
        <w:ind w:left="630" w:hanging="720"/>
      </w:pPr>
      <w:r>
        <w:rPr>
          <w:lang w:bidi="ar-SA"/>
        </w:rPr>
        <w:t xml:space="preserve">*“The ‘Status Quo’ Letter by David Ben Gurion” in Daniel </w:t>
      </w:r>
      <w:proofErr w:type="spellStart"/>
      <w:r>
        <w:rPr>
          <w:lang w:bidi="ar-SA"/>
        </w:rPr>
        <w:t>Shimshoni</w:t>
      </w:r>
      <w:proofErr w:type="spellEnd"/>
      <w:r>
        <w:rPr>
          <w:lang w:bidi="ar-SA"/>
        </w:rPr>
        <w:t xml:space="preserve">, </w:t>
      </w:r>
      <w:r>
        <w:rPr>
          <w:i/>
          <w:iCs/>
          <w:lang w:bidi="ar-SA"/>
        </w:rPr>
        <w:t>Israeli Democracy: The Middle of the Journey</w:t>
      </w:r>
      <w:r>
        <w:rPr>
          <w:lang w:bidi="ar-SA"/>
        </w:rPr>
        <w:t xml:space="preserve"> (New York and London: 1982): p. 478. </w:t>
      </w:r>
      <w:r>
        <w:rPr>
          <w:b/>
          <w:bCs/>
          <w:lang w:bidi="ar-SA"/>
        </w:rPr>
        <w:t>Overseas Library E321.8 S556; ERESERVE</w:t>
      </w:r>
    </w:p>
    <w:p w14:paraId="116B838B" w14:textId="06D27D19" w:rsidR="00CC1C6A" w:rsidRPr="009D50BC" w:rsidRDefault="00CC1C6A" w:rsidP="00B87F57">
      <w:pPr>
        <w:pStyle w:val="Standard"/>
        <w:ind w:left="630" w:hanging="720"/>
        <w:rPr>
          <w:color w:val="000000" w:themeColor="text1"/>
          <w:lang w:bidi="ar-SA"/>
        </w:rPr>
      </w:pPr>
      <w:r w:rsidRPr="009D50BC">
        <w:rPr>
          <w:color w:val="000000" w:themeColor="text1"/>
          <w:lang w:bidi="ar-SA"/>
        </w:rPr>
        <w:t xml:space="preserve">*Asher Cohen, “Religion, Society, and Politics in Israel,” in </w:t>
      </w:r>
      <w:r w:rsidRPr="009D50BC">
        <w:rPr>
          <w:i/>
          <w:iCs/>
          <w:color w:val="000000" w:themeColor="text1"/>
          <w:lang w:bidi="ar-SA"/>
        </w:rPr>
        <w:t>The Oxford Handbook of Israeli Politics and Society</w:t>
      </w:r>
      <w:r w:rsidRPr="009D50BC">
        <w:rPr>
          <w:color w:val="000000" w:themeColor="text1"/>
          <w:lang w:bidi="ar-SA"/>
        </w:rPr>
        <w:t>.</w:t>
      </w:r>
    </w:p>
    <w:p w14:paraId="5E2AFF68" w14:textId="227EC7A7" w:rsidR="00CC1C6A" w:rsidRPr="009D50BC" w:rsidRDefault="00CC1C6A" w:rsidP="00B87F57">
      <w:pPr>
        <w:pStyle w:val="Standard"/>
        <w:ind w:left="630" w:hanging="720"/>
        <w:rPr>
          <w:color w:val="000000" w:themeColor="text1"/>
          <w:lang w:bidi="ar-SA"/>
        </w:rPr>
      </w:pPr>
      <w:r w:rsidRPr="009D50BC">
        <w:rPr>
          <w:color w:val="000000" w:themeColor="text1"/>
          <w:lang w:bidi="ar-SA"/>
        </w:rPr>
        <w:t>*Guy Ben-</w:t>
      </w:r>
      <w:proofErr w:type="spellStart"/>
      <w:r w:rsidRPr="009D50BC">
        <w:rPr>
          <w:color w:val="000000" w:themeColor="text1"/>
          <w:lang w:bidi="ar-SA"/>
        </w:rPr>
        <w:t>Porat</w:t>
      </w:r>
      <w:proofErr w:type="spellEnd"/>
      <w:r w:rsidRPr="009D50BC">
        <w:rPr>
          <w:color w:val="000000" w:themeColor="text1"/>
          <w:lang w:bidi="ar-SA"/>
        </w:rPr>
        <w:t xml:space="preserve">, “Religion in Israeli Politics,” in </w:t>
      </w:r>
      <w:r w:rsidRPr="009D50BC">
        <w:rPr>
          <w:i/>
          <w:iCs/>
          <w:color w:val="000000" w:themeColor="text1"/>
          <w:lang w:bidi="ar-SA"/>
        </w:rPr>
        <w:t>The Oxford Handbook of Israeli Politics and Society</w:t>
      </w:r>
      <w:r w:rsidRPr="009D50BC">
        <w:rPr>
          <w:color w:val="000000" w:themeColor="text1"/>
          <w:lang w:bidi="ar-SA"/>
        </w:rPr>
        <w:t>.</w:t>
      </w:r>
    </w:p>
    <w:p w14:paraId="5415D39D" w14:textId="32952C06" w:rsidR="00CC1C6A" w:rsidRPr="009D50BC" w:rsidRDefault="00CC1C6A" w:rsidP="00B87F57">
      <w:pPr>
        <w:pStyle w:val="Standard"/>
        <w:ind w:left="630" w:hanging="720"/>
        <w:rPr>
          <w:color w:val="000000" w:themeColor="text1"/>
          <w:lang w:bidi="ar-SA"/>
        </w:rPr>
      </w:pPr>
    </w:p>
    <w:p w14:paraId="1C1FC023" w14:textId="73A31308" w:rsidR="00B41614" w:rsidRDefault="00622F8A" w:rsidP="00B87F57">
      <w:pPr>
        <w:pStyle w:val="Standard"/>
        <w:ind w:left="630" w:hanging="720"/>
      </w:pPr>
      <w:r>
        <w:rPr>
          <w:lang w:bidi="ar-SA"/>
        </w:rPr>
        <w:t>11</w:t>
      </w:r>
      <w:r w:rsidR="0000759C">
        <w:rPr>
          <w:lang w:bidi="ar-SA"/>
        </w:rPr>
        <w:t>-</w:t>
      </w:r>
      <w:r w:rsidR="00416AF1">
        <w:rPr>
          <w:lang w:bidi="ar-SA"/>
        </w:rPr>
        <w:t>1</w:t>
      </w:r>
      <w:r>
        <w:rPr>
          <w:lang w:bidi="ar-SA"/>
        </w:rPr>
        <w:t>2</w:t>
      </w:r>
      <w:r w:rsidR="00416AF1">
        <w:rPr>
          <w:lang w:bidi="ar-SA"/>
        </w:rPr>
        <w:t>.</w:t>
      </w:r>
      <w:r w:rsidR="00B87F57">
        <w:rPr>
          <w:lang w:bidi="ar-SA"/>
        </w:rPr>
        <w:tab/>
      </w:r>
      <w:r w:rsidR="00416AF1">
        <w:rPr>
          <w:lang w:bidi="ar-SA"/>
        </w:rPr>
        <w:t>The Ultra-Orthodox in Israel</w:t>
      </w:r>
    </w:p>
    <w:p w14:paraId="63EA542A" w14:textId="6D57EC13" w:rsidR="00B41614" w:rsidRDefault="00416AF1" w:rsidP="00B87F57">
      <w:pPr>
        <w:pStyle w:val="Standard"/>
        <w:ind w:left="630" w:hanging="720"/>
        <w:rPr>
          <w:lang w:bidi="ar-SA"/>
        </w:rPr>
      </w:pPr>
      <w:r>
        <w:rPr>
          <w:lang w:bidi="ar-SA"/>
        </w:rPr>
        <w:t>*</w:t>
      </w:r>
      <w:proofErr w:type="spellStart"/>
      <w:r>
        <w:rPr>
          <w:lang w:bidi="ar-SA"/>
        </w:rPr>
        <w:t>Nurit</w:t>
      </w:r>
      <w:proofErr w:type="spellEnd"/>
      <w:r>
        <w:rPr>
          <w:lang w:bidi="ar-SA"/>
        </w:rPr>
        <w:t xml:space="preserve"> Stadler, Edna </w:t>
      </w:r>
      <w:proofErr w:type="spellStart"/>
      <w:r>
        <w:rPr>
          <w:lang w:bidi="ar-SA"/>
        </w:rPr>
        <w:t>Lomsky</w:t>
      </w:r>
      <w:proofErr w:type="spellEnd"/>
      <w:r>
        <w:rPr>
          <w:lang w:bidi="ar-SA"/>
        </w:rPr>
        <w:t xml:space="preserve">-Feder and Eyal Ben-Ari, “Fundamentalism’s Encounters with Citizenship: The Haredim in Israel,” </w:t>
      </w:r>
      <w:r>
        <w:rPr>
          <w:i/>
          <w:iCs/>
          <w:lang w:bidi="ar-SA"/>
        </w:rPr>
        <w:t>Citizenship Studies</w:t>
      </w:r>
      <w:r>
        <w:rPr>
          <w:lang w:bidi="ar-SA"/>
        </w:rPr>
        <w:t xml:space="preserve"> 12:3 (2008): pp. 215-231.</w:t>
      </w:r>
      <w:r>
        <w:t xml:space="preserve">  </w:t>
      </w:r>
      <w:r>
        <w:rPr>
          <w:b/>
          <w:bCs/>
          <w:lang w:bidi="ar-SA"/>
        </w:rPr>
        <w:t>E-JOURNAL</w:t>
      </w:r>
    </w:p>
    <w:p w14:paraId="2FABC84E" w14:textId="77777777" w:rsidR="00B41614" w:rsidRPr="009D50BC" w:rsidRDefault="00416AF1" w:rsidP="00B87F57">
      <w:pPr>
        <w:pStyle w:val="Standard"/>
        <w:ind w:left="630" w:hanging="720"/>
        <w:rPr>
          <w:color w:val="000000" w:themeColor="text1"/>
          <w:lang w:bidi="ar-SA"/>
        </w:rPr>
      </w:pPr>
      <w:r w:rsidRPr="009D50BC">
        <w:rPr>
          <w:color w:val="000000" w:themeColor="text1"/>
          <w:lang w:bidi="ar-SA"/>
        </w:rPr>
        <w:t> </w:t>
      </w:r>
    </w:p>
    <w:p w14:paraId="3D64EAEA" w14:textId="1F23D49A" w:rsidR="00622F8A" w:rsidRPr="001E047E" w:rsidRDefault="00B25C30" w:rsidP="00B87F57">
      <w:pPr>
        <w:pStyle w:val="Standard"/>
        <w:ind w:left="630" w:hanging="720"/>
        <w:rPr>
          <w:b/>
          <w:bCs/>
          <w:color w:val="000000" w:themeColor="text1"/>
          <w:lang w:bidi="ar-SA"/>
        </w:rPr>
      </w:pPr>
      <w:r w:rsidRPr="001E047E">
        <w:rPr>
          <w:b/>
          <w:bCs/>
          <w:color w:val="000000" w:themeColor="text1"/>
          <w:lang w:bidi="ar-SA"/>
        </w:rPr>
        <w:t xml:space="preserve">Thursday July 13 or Sunday July 16: Half-day walk </w:t>
      </w:r>
      <w:r w:rsidR="001E047E" w:rsidRPr="001E047E">
        <w:rPr>
          <w:b/>
          <w:bCs/>
          <w:color w:val="000000" w:themeColor="text1"/>
          <w:lang w:bidi="ar-SA"/>
        </w:rPr>
        <w:t xml:space="preserve">in </w:t>
      </w:r>
      <w:proofErr w:type="spellStart"/>
      <w:r w:rsidR="001E047E" w:rsidRPr="001E047E">
        <w:rPr>
          <w:b/>
          <w:bCs/>
          <w:color w:val="000000" w:themeColor="text1"/>
          <w:lang w:bidi="ar-SA"/>
        </w:rPr>
        <w:t>Mea</w:t>
      </w:r>
      <w:proofErr w:type="spellEnd"/>
      <w:r w:rsidR="001E047E" w:rsidRPr="001E047E">
        <w:rPr>
          <w:b/>
          <w:bCs/>
          <w:color w:val="000000" w:themeColor="text1"/>
          <w:lang w:bidi="ar-SA"/>
        </w:rPr>
        <w:t xml:space="preserve"> </w:t>
      </w:r>
      <w:proofErr w:type="spellStart"/>
      <w:r w:rsidR="001E047E" w:rsidRPr="001E047E">
        <w:rPr>
          <w:b/>
          <w:bCs/>
          <w:color w:val="000000" w:themeColor="text1"/>
          <w:lang w:bidi="ar-SA"/>
        </w:rPr>
        <w:t>She’arim</w:t>
      </w:r>
      <w:proofErr w:type="spellEnd"/>
    </w:p>
    <w:p w14:paraId="64350828" w14:textId="77777777" w:rsidR="00622F8A" w:rsidRDefault="00622F8A" w:rsidP="00B87F57">
      <w:pPr>
        <w:pStyle w:val="Standard"/>
        <w:ind w:left="630" w:hanging="720"/>
        <w:rPr>
          <w:color w:val="000000" w:themeColor="text1"/>
          <w:lang w:bidi="ar-SA"/>
        </w:rPr>
      </w:pPr>
    </w:p>
    <w:p w14:paraId="2B2D8811" w14:textId="521E00DB" w:rsidR="00B41614" w:rsidRPr="00B87F57" w:rsidRDefault="00416AF1" w:rsidP="00B87F57">
      <w:pPr>
        <w:pStyle w:val="Standard"/>
        <w:ind w:left="630" w:hanging="720"/>
        <w:rPr>
          <w:lang w:bidi="ar-SA"/>
        </w:rPr>
      </w:pPr>
      <w:r w:rsidRPr="00B87F57">
        <w:rPr>
          <w:lang w:bidi="ar-SA"/>
        </w:rPr>
        <w:t>13-14.</w:t>
      </w:r>
      <w:r w:rsidR="00B87F57">
        <w:rPr>
          <w:lang w:bidi="ar-SA"/>
        </w:rPr>
        <w:tab/>
      </w:r>
      <w:r w:rsidRPr="00B87F57">
        <w:rPr>
          <w:lang w:bidi="ar-SA"/>
        </w:rPr>
        <w:t>Women in Israel</w:t>
      </w:r>
    </w:p>
    <w:p w14:paraId="15C3BDE7" w14:textId="02720BDA" w:rsidR="00D86C08" w:rsidRPr="00B87F57" w:rsidRDefault="00416AF1" w:rsidP="00B87F57">
      <w:pPr>
        <w:pStyle w:val="Standard"/>
        <w:ind w:left="630" w:hanging="720"/>
        <w:rPr>
          <w:lang w:bidi="ar-SA"/>
        </w:rPr>
      </w:pPr>
      <w:r w:rsidRPr="00B87F57">
        <w:rPr>
          <w:lang w:bidi="ar-SA"/>
        </w:rPr>
        <w:t>*</w:t>
      </w:r>
      <w:r w:rsidR="00D86C08" w:rsidRPr="00B87F57">
        <w:rPr>
          <w:lang w:bidi="ar-SA"/>
        </w:rPr>
        <w:t xml:space="preserve"> </w:t>
      </w:r>
      <w:proofErr w:type="spellStart"/>
      <w:r w:rsidR="00D86C08" w:rsidRPr="00B87F57">
        <w:rPr>
          <w:lang w:bidi="ar-SA"/>
        </w:rPr>
        <w:t>Reut</w:t>
      </w:r>
      <w:proofErr w:type="spellEnd"/>
      <w:r w:rsidR="00D86C08" w:rsidRPr="00B87F57">
        <w:rPr>
          <w:lang w:bidi="ar-SA"/>
        </w:rPr>
        <w:t xml:space="preserve"> </w:t>
      </w:r>
      <w:proofErr w:type="spellStart"/>
      <w:r w:rsidR="00D86C08" w:rsidRPr="00B87F57">
        <w:rPr>
          <w:lang w:bidi="ar-SA"/>
        </w:rPr>
        <w:t>Itzkovitch</w:t>
      </w:r>
      <w:proofErr w:type="spellEnd"/>
      <w:r w:rsidR="00D86C08" w:rsidRPr="00B87F57">
        <w:rPr>
          <w:lang w:bidi="ar-SA"/>
        </w:rPr>
        <w:t xml:space="preserve">-Malka, “Gender in Israel,” in </w:t>
      </w:r>
      <w:r w:rsidR="00D86C08" w:rsidRPr="00B87F57">
        <w:rPr>
          <w:i/>
          <w:iCs/>
          <w:lang w:bidi="ar-SA"/>
        </w:rPr>
        <w:t>The Oxford Handbook of Israeli Politics and Society</w:t>
      </w:r>
      <w:r w:rsidR="00CC1C6A" w:rsidRPr="00B87F57">
        <w:rPr>
          <w:lang w:bidi="ar-SA"/>
        </w:rPr>
        <w:t>.</w:t>
      </w:r>
    </w:p>
    <w:p w14:paraId="6FF26EE6" w14:textId="258C8BF8" w:rsidR="00B41614" w:rsidRPr="00B87F57" w:rsidRDefault="00416AF1" w:rsidP="00B87F57">
      <w:pPr>
        <w:pStyle w:val="Standard"/>
        <w:ind w:left="630" w:hanging="720"/>
        <w:rPr>
          <w:lang w:bidi="ar-SA"/>
        </w:rPr>
      </w:pPr>
      <w:r w:rsidRPr="00B87F57">
        <w:rPr>
          <w:lang w:bidi="ar-SA"/>
        </w:rPr>
        <w:t>   </w:t>
      </w:r>
    </w:p>
    <w:p w14:paraId="429558C7" w14:textId="22B29076" w:rsidR="00B41614" w:rsidRPr="00B87F57" w:rsidRDefault="00416AF1" w:rsidP="00B87F57">
      <w:pPr>
        <w:pStyle w:val="Standard"/>
        <w:ind w:left="630" w:hanging="720"/>
        <w:rPr>
          <w:lang w:bidi="ar-SA"/>
        </w:rPr>
      </w:pPr>
      <w:r w:rsidRPr="00B87F57">
        <w:rPr>
          <w:lang w:bidi="ar-SA"/>
        </w:rPr>
        <w:t>1</w:t>
      </w:r>
      <w:r w:rsidR="0049702C" w:rsidRPr="00B87F57">
        <w:rPr>
          <w:lang w:bidi="ar-SA"/>
        </w:rPr>
        <w:t>5</w:t>
      </w:r>
      <w:r w:rsidR="009E0405">
        <w:rPr>
          <w:lang w:bidi="ar-SA"/>
        </w:rPr>
        <w:t>-16.</w:t>
      </w:r>
      <w:r w:rsidR="00B87F57">
        <w:rPr>
          <w:lang w:bidi="ar-SA"/>
        </w:rPr>
        <w:tab/>
      </w:r>
      <w:r w:rsidRPr="00B87F57">
        <w:rPr>
          <w:lang w:bidi="ar-SA"/>
        </w:rPr>
        <w:t>The Territories</w:t>
      </w:r>
    </w:p>
    <w:p w14:paraId="7470A603" w14:textId="20BDB892" w:rsidR="00790196" w:rsidRPr="00B87F57" w:rsidRDefault="00790196" w:rsidP="00B87F57">
      <w:pPr>
        <w:pStyle w:val="Standard"/>
        <w:ind w:left="630" w:hanging="720"/>
        <w:rPr>
          <w:lang w:bidi="ar-SA"/>
        </w:rPr>
      </w:pPr>
      <w:r w:rsidRPr="00B87F57">
        <w:rPr>
          <w:lang w:bidi="ar-SA"/>
        </w:rPr>
        <w:t xml:space="preserve">*Oren Barak, “Israel’s Policy in and toward the West Bank and the Gaza Strip,” in </w:t>
      </w:r>
      <w:r w:rsidRPr="00B87F57">
        <w:rPr>
          <w:i/>
          <w:iCs/>
          <w:lang w:bidi="ar-SA"/>
        </w:rPr>
        <w:t>The Oxford Handbook of Israeli Politics and Society</w:t>
      </w:r>
      <w:r w:rsidRPr="00B87F57">
        <w:rPr>
          <w:lang w:bidi="ar-SA"/>
        </w:rPr>
        <w:t>.</w:t>
      </w:r>
    </w:p>
    <w:p w14:paraId="0511B274" w14:textId="21FB3045" w:rsidR="00664A8D" w:rsidRPr="00B87F57" w:rsidRDefault="00FD3330" w:rsidP="00B87F57">
      <w:pPr>
        <w:pStyle w:val="Standard"/>
        <w:ind w:left="630" w:hanging="720"/>
        <w:rPr>
          <w:lang w:bidi="ar-SA"/>
        </w:rPr>
      </w:pPr>
      <w:r w:rsidRPr="00B87F57">
        <w:rPr>
          <w:lang w:bidi="ar-SA"/>
        </w:rPr>
        <w:t xml:space="preserve">*Arie </w:t>
      </w:r>
      <w:proofErr w:type="spellStart"/>
      <w:r w:rsidRPr="00B87F57">
        <w:rPr>
          <w:lang w:bidi="ar-SA"/>
        </w:rPr>
        <w:t>Perliger</w:t>
      </w:r>
      <w:proofErr w:type="spellEnd"/>
      <w:r w:rsidRPr="00B87F57">
        <w:rPr>
          <w:lang w:bidi="ar-SA"/>
        </w:rPr>
        <w:t xml:space="preserve"> and Ami </w:t>
      </w:r>
      <w:proofErr w:type="spellStart"/>
      <w:r w:rsidRPr="00B87F57">
        <w:rPr>
          <w:lang w:bidi="ar-SA"/>
        </w:rPr>
        <w:t>Pedahzur</w:t>
      </w:r>
      <w:proofErr w:type="spellEnd"/>
      <w:r w:rsidRPr="00B87F57">
        <w:rPr>
          <w:lang w:bidi="ar-SA"/>
        </w:rPr>
        <w:t xml:space="preserve">, “The Territories in Israeli Politics,” in </w:t>
      </w:r>
      <w:r w:rsidRPr="00B87F57">
        <w:rPr>
          <w:i/>
          <w:iCs/>
          <w:lang w:bidi="ar-SA"/>
        </w:rPr>
        <w:t>The Oxford Handbook of Israeli Politics and Society</w:t>
      </w:r>
      <w:r w:rsidRPr="00B87F57">
        <w:rPr>
          <w:lang w:bidi="ar-SA"/>
        </w:rPr>
        <w:t>.</w:t>
      </w:r>
    </w:p>
    <w:p w14:paraId="4292D6B9" w14:textId="77777777" w:rsidR="008F7E59" w:rsidRDefault="008F7E59" w:rsidP="00B87F57">
      <w:pPr>
        <w:pStyle w:val="Standard"/>
        <w:ind w:left="630" w:hanging="720"/>
        <w:rPr>
          <w:lang w:bidi="ar-SA"/>
        </w:rPr>
      </w:pPr>
    </w:p>
    <w:p w14:paraId="65F3D128" w14:textId="4F54DD98" w:rsidR="00B41614" w:rsidRDefault="0049702C" w:rsidP="00B87F57">
      <w:pPr>
        <w:pStyle w:val="Standard"/>
        <w:ind w:left="630" w:hanging="720"/>
        <w:rPr>
          <w:lang w:bidi="ar-SA"/>
        </w:rPr>
      </w:pPr>
      <w:r>
        <w:rPr>
          <w:lang w:bidi="ar-SA"/>
        </w:rPr>
        <w:t>17</w:t>
      </w:r>
      <w:r w:rsidR="00416AF1">
        <w:rPr>
          <w:lang w:bidi="ar-SA"/>
        </w:rPr>
        <w:t>.</w:t>
      </w:r>
      <w:r w:rsidR="00B87F57">
        <w:rPr>
          <w:lang w:bidi="ar-SA"/>
        </w:rPr>
        <w:tab/>
      </w:r>
      <w:r w:rsidR="00416AF1">
        <w:rPr>
          <w:lang w:bidi="ar-SA"/>
        </w:rPr>
        <w:t>Political System</w:t>
      </w:r>
    </w:p>
    <w:p w14:paraId="09F18682" w14:textId="77777777" w:rsidR="00434DED" w:rsidRPr="00B87F57" w:rsidRDefault="00416AF1" w:rsidP="00B87F57">
      <w:pPr>
        <w:pStyle w:val="Standard"/>
        <w:ind w:left="630" w:hanging="720"/>
        <w:rPr>
          <w:lang w:bidi="ar-SA"/>
        </w:rPr>
      </w:pPr>
      <w:r w:rsidRPr="00B87F57">
        <w:rPr>
          <w:lang w:bidi="ar-SA"/>
        </w:rPr>
        <w:t>*</w:t>
      </w:r>
      <w:r w:rsidR="00434DED" w:rsidRPr="00B87F57">
        <w:rPr>
          <w:lang w:bidi="ar-SA"/>
        </w:rPr>
        <w:t xml:space="preserve">Matthew S. Shugart, “The Electoral System of Israel,” in </w:t>
      </w:r>
      <w:r w:rsidR="00434DED" w:rsidRPr="00B87F57">
        <w:rPr>
          <w:i/>
          <w:iCs/>
          <w:lang w:bidi="ar-SA"/>
        </w:rPr>
        <w:t>The Oxford Handbook of Israeli Politics and Society</w:t>
      </w:r>
      <w:r w:rsidR="00434DED" w:rsidRPr="00B87F57">
        <w:rPr>
          <w:lang w:bidi="ar-SA"/>
        </w:rPr>
        <w:t>.</w:t>
      </w:r>
    </w:p>
    <w:p w14:paraId="55ABEAAF" w14:textId="09C0A23D" w:rsidR="00B41614" w:rsidRPr="00B87F57" w:rsidRDefault="00434DED" w:rsidP="00B87F57">
      <w:pPr>
        <w:pStyle w:val="Standard"/>
        <w:ind w:left="630" w:hanging="720"/>
        <w:rPr>
          <w:lang w:bidi="ar-SA"/>
        </w:rPr>
      </w:pPr>
      <w:r w:rsidRPr="00B87F57">
        <w:rPr>
          <w:lang w:bidi="ar-SA"/>
        </w:rPr>
        <w:t xml:space="preserve">*Reuven Y. </w:t>
      </w:r>
      <w:proofErr w:type="spellStart"/>
      <w:r w:rsidRPr="00B87F57">
        <w:rPr>
          <w:lang w:bidi="ar-SA"/>
        </w:rPr>
        <w:t>Hazan</w:t>
      </w:r>
      <w:proofErr w:type="spellEnd"/>
      <w:r w:rsidRPr="00B87F57">
        <w:rPr>
          <w:lang w:bidi="ar-SA"/>
        </w:rPr>
        <w:t xml:space="preserve">, “Parties and the Party System of Israel,” in </w:t>
      </w:r>
      <w:r w:rsidRPr="00B87F57">
        <w:rPr>
          <w:i/>
          <w:iCs/>
          <w:lang w:bidi="ar-SA"/>
        </w:rPr>
        <w:t>The Oxford Handbook of Israeli Politics and Society</w:t>
      </w:r>
      <w:r w:rsidRPr="00B87F57">
        <w:rPr>
          <w:lang w:bidi="ar-SA"/>
        </w:rPr>
        <w:t>.</w:t>
      </w:r>
    </w:p>
    <w:p w14:paraId="334DBA1B" w14:textId="18D1AF25" w:rsidR="000141AB" w:rsidRPr="00B87F57" w:rsidRDefault="000141AB" w:rsidP="00B87F57">
      <w:pPr>
        <w:pStyle w:val="Standard"/>
        <w:ind w:left="630" w:hanging="720"/>
        <w:rPr>
          <w:lang w:bidi="ar-SA"/>
        </w:rPr>
      </w:pPr>
      <w:r w:rsidRPr="00B87F57">
        <w:rPr>
          <w:lang w:bidi="ar-SA"/>
        </w:rPr>
        <w:lastRenderedPageBreak/>
        <w:t xml:space="preserve">*Gideon </w:t>
      </w:r>
      <w:proofErr w:type="spellStart"/>
      <w:r w:rsidRPr="00B87F57">
        <w:rPr>
          <w:lang w:bidi="ar-SA"/>
        </w:rPr>
        <w:t>Rahat</w:t>
      </w:r>
      <w:proofErr w:type="spellEnd"/>
      <w:r w:rsidRPr="00B87F57">
        <w:rPr>
          <w:lang w:bidi="ar-SA"/>
        </w:rPr>
        <w:t xml:space="preserve">, “Political Reform in Israel,” in </w:t>
      </w:r>
      <w:r w:rsidRPr="00B87F57">
        <w:rPr>
          <w:i/>
          <w:iCs/>
          <w:lang w:bidi="ar-SA"/>
        </w:rPr>
        <w:t>The Oxford Handbook of Israeli Politics and Society</w:t>
      </w:r>
      <w:r w:rsidRPr="00B87F57">
        <w:rPr>
          <w:lang w:bidi="ar-SA"/>
        </w:rPr>
        <w:t>.</w:t>
      </w:r>
    </w:p>
    <w:p w14:paraId="3F571EC8" w14:textId="77777777" w:rsidR="00B41614" w:rsidRPr="009D50BC" w:rsidRDefault="00416AF1">
      <w:pPr>
        <w:pStyle w:val="Standard"/>
        <w:rPr>
          <w:b/>
          <w:bCs/>
          <w:color w:val="000000" w:themeColor="text1"/>
          <w:lang w:bidi="ar-SA"/>
        </w:rPr>
      </w:pPr>
      <w:r w:rsidRPr="009D50BC">
        <w:rPr>
          <w:b/>
          <w:bCs/>
          <w:color w:val="000000" w:themeColor="text1"/>
          <w:lang w:bidi="ar-SA"/>
        </w:rPr>
        <w:t> </w:t>
      </w:r>
    </w:p>
    <w:p w14:paraId="0C44A504" w14:textId="05C6009D" w:rsidR="00B41614" w:rsidRPr="009D50BC" w:rsidRDefault="0049702C">
      <w:pPr>
        <w:pStyle w:val="Standard"/>
        <w:rPr>
          <w:color w:val="000000" w:themeColor="text1"/>
          <w:rtl/>
          <w:lang w:bidi="ar-SA"/>
        </w:rPr>
      </w:pPr>
      <w:r>
        <w:rPr>
          <w:color w:val="000000" w:themeColor="text1"/>
          <w:lang w:bidi="ar-SA"/>
        </w:rPr>
        <w:t>18</w:t>
      </w:r>
      <w:r w:rsidR="00416AF1" w:rsidRPr="009D50BC">
        <w:rPr>
          <w:color w:val="000000" w:themeColor="text1"/>
          <w:lang w:bidi="ar-SA"/>
        </w:rPr>
        <w:t>.</w:t>
      </w:r>
      <w:r w:rsidR="00B87F57">
        <w:rPr>
          <w:color w:val="000000" w:themeColor="text1"/>
          <w:lang w:bidi="ar-SA"/>
        </w:rPr>
        <w:tab/>
      </w:r>
      <w:r w:rsidR="00416AF1" w:rsidRPr="009D50BC">
        <w:rPr>
          <w:color w:val="000000" w:themeColor="text1"/>
          <w:lang w:bidi="ar-SA"/>
        </w:rPr>
        <w:t>Israel’s Search for Identity</w:t>
      </w:r>
    </w:p>
    <w:p w14:paraId="3BE179CF" w14:textId="77777777" w:rsidR="009B679D" w:rsidRPr="009D50BC" w:rsidRDefault="009B679D">
      <w:pPr>
        <w:pStyle w:val="Standard"/>
        <w:rPr>
          <w:color w:val="000000" w:themeColor="text1"/>
          <w:lang w:bidi="ar-SA"/>
        </w:rPr>
      </w:pPr>
      <w:r w:rsidRPr="009D50BC">
        <w:rPr>
          <w:color w:val="000000" w:themeColor="text1"/>
          <w:lang w:bidi="ar-SA"/>
        </w:rPr>
        <w:t>*Two of the following:</w:t>
      </w:r>
    </w:p>
    <w:p w14:paraId="561993CB" w14:textId="77DD2300" w:rsidR="0004644B" w:rsidRPr="00B87F57" w:rsidRDefault="00D334A7" w:rsidP="00B87F57">
      <w:pPr>
        <w:pStyle w:val="Standard"/>
        <w:ind w:left="630" w:hanging="720"/>
        <w:rPr>
          <w:lang w:bidi="ar-SA"/>
        </w:rPr>
      </w:pPr>
      <w:r w:rsidRPr="00B87F57">
        <w:rPr>
          <w:lang w:bidi="ar-SA"/>
        </w:rPr>
        <w:t xml:space="preserve">Alexandra </w:t>
      </w:r>
      <w:proofErr w:type="spellStart"/>
      <w:r w:rsidRPr="00B87F57">
        <w:rPr>
          <w:lang w:bidi="ar-SA"/>
        </w:rPr>
        <w:t>Nocke</w:t>
      </w:r>
      <w:proofErr w:type="spellEnd"/>
      <w:r w:rsidRPr="00B87F57">
        <w:rPr>
          <w:lang w:bidi="ar-SA"/>
        </w:rPr>
        <w:t xml:space="preserve">, “Mapping Yam </w:t>
      </w:r>
      <w:proofErr w:type="spellStart"/>
      <w:r w:rsidRPr="00B87F57">
        <w:rPr>
          <w:lang w:bidi="ar-SA"/>
        </w:rPr>
        <w:t>Tikhoniut</w:t>
      </w:r>
      <w:proofErr w:type="spellEnd"/>
      <w:r w:rsidRPr="00B87F57">
        <w:rPr>
          <w:lang w:bidi="ar-SA"/>
        </w:rPr>
        <w:t xml:space="preserve">,” in </w:t>
      </w:r>
      <w:r w:rsidRPr="00ED4DC5">
        <w:rPr>
          <w:i/>
          <w:iCs/>
          <w:lang w:bidi="ar-SA"/>
        </w:rPr>
        <w:t>The Place of the Mediterranean in Modern Israeli Identity</w:t>
      </w:r>
      <w:r w:rsidRPr="00B87F57">
        <w:rPr>
          <w:lang w:bidi="ar-SA"/>
        </w:rPr>
        <w:t xml:space="preserve"> (Leiden and Boston: 2009), pp. 137-173.</w:t>
      </w:r>
    </w:p>
    <w:p w14:paraId="02211A86" w14:textId="77777777" w:rsidR="009B679D" w:rsidRPr="00B87F57" w:rsidRDefault="009B679D" w:rsidP="00B87F57">
      <w:pPr>
        <w:pStyle w:val="Standard"/>
        <w:ind w:left="630" w:hanging="720"/>
        <w:rPr>
          <w:lang w:bidi="ar-SA"/>
        </w:rPr>
      </w:pPr>
      <w:r w:rsidRPr="00B87F57">
        <w:rPr>
          <w:lang w:bidi="ar-SA"/>
        </w:rPr>
        <w:t xml:space="preserve">Neta Oren and Daniel Bar-Tal, “Ethos and identity: Expressions and changes in the Israeli Jewish society,” </w:t>
      </w:r>
      <w:proofErr w:type="spellStart"/>
      <w:r w:rsidRPr="00ED4DC5">
        <w:rPr>
          <w:i/>
          <w:iCs/>
          <w:lang w:bidi="ar-SA"/>
        </w:rPr>
        <w:t>Estudios</w:t>
      </w:r>
      <w:proofErr w:type="spellEnd"/>
      <w:r w:rsidRPr="00ED4DC5">
        <w:rPr>
          <w:i/>
          <w:iCs/>
          <w:lang w:bidi="ar-SA"/>
        </w:rPr>
        <w:t xml:space="preserve"> de </w:t>
      </w:r>
      <w:proofErr w:type="spellStart"/>
      <w:r w:rsidRPr="00ED4DC5">
        <w:rPr>
          <w:i/>
          <w:iCs/>
          <w:lang w:bidi="ar-SA"/>
        </w:rPr>
        <w:t>Psicología</w:t>
      </w:r>
      <w:proofErr w:type="spellEnd"/>
      <w:r w:rsidRPr="00B87F57">
        <w:rPr>
          <w:lang w:bidi="ar-SA"/>
        </w:rPr>
        <w:t xml:space="preserve"> 27 (2006), pp. 293-316.</w:t>
      </w:r>
    </w:p>
    <w:p w14:paraId="4B032B05" w14:textId="74AD48CD" w:rsidR="009B679D" w:rsidRPr="00B87F57" w:rsidRDefault="009B679D" w:rsidP="00B87F57">
      <w:pPr>
        <w:pStyle w:val="Standard"/>
        <w:ind w:left="630" w:hanging="720"/>
        <w:rPr>
          <w:lang w:bidi="ar-SA"/>
        </w:rPr>
      </w:pPr>
      <w:r w:rsidRPr="00B87F57">
        <w:rPr>
          <w:lang w:bidi="ar-SA"/>
        </w:rPr>
        <w:t xml:space="preserve">Dov Waxman, “The Crisis of Israeli Identity,” in </w:t>
      </w:r>
      <w:r w:rsidRPr="00ED4DC5">
        <w:rPr>
          <w:i/>
          <w:iCs/>
          <w:lang w:bidi="ar-SA"/>
        </w:rPr>
        <w:t>The Pursuit of Peace and the Crisis of Israeli Identity: Defending/Defining the Nation</w:t>
      </w:r>
      <w:r w:rsidRPr="00B87F57">
        <w:rPr>
          <w:lang w:bidi="ar-SA"/>
        </w:rPr>
        <w:t xml:space="preserve"> (New York: 2006), pp. 109-144.</w:t>
      </w:r>
    </w:p>
    <w:p w14:paraId="7994B181" w14:textId="346B72E9" w:rsidR="002373A6" w:rsidRPr="00B87F57" w:rsidRDefault="002373A6" w:rsidP="00B87F57">
      <w:pPr>
        <w:pStyle w:val="Standard"/>
        <w:ind w:left="630" w:hanging="720"/>
        <w:rPr>
          <w:lang w:bidi="ar-SA"/>
        </w:rPr>
      </w:pPr>
      <w:r w:rsidRPr="00B87F57">
        <w:rPr>
          <w:lang w:bidi="ar-SA"/>
        </w:rPr>
        <w:t xml:space="preserve">Yaacov </w:t>
      </w:r>
      <w:proofErr w:type="spellStart"/>
      <w:r w:rsidRPr="00B87F57">
        <w:rPr>
          <w:lang w:bidi="ar-SA"/>
        </w:rPr>
        <w:t>Yadgar</w:t>
      </w:r>
      <w:proofErr w:type="spellEnd"/>
      <w:r w:rsidRPr="00B87F57">
        <w:rPr>
          <w:lang w:bidi="ar-SA"/>
        </w:rPr>
        <w:t xml:space="preserve">, “Conclusion: Israel, Judaism, and Critique,” in </w:t>
      </w:r>
      <w:r w:rsidRPr="00ED4DC5">
        <w:rPr>
          <w:i/>
          <w:iCs/>
          <w:lang w:bidi="ar-SA"/>
        </w:rPr>
        <w:t>Israel’s Jewish Identity Crisis: State and Politics in the Middle East</w:t>
      </w:r>
      <w:r w:rsidRPr="00B87F57">
        <w:rPr>
          <w:lang w:bidi="ar-SA"/>
        </w:rPr>
        <w:t xml:space="preserve"> (Cambridge: 2020), pp. 172-195.</w:t>
      </w:r>
    </w:p>
    <w:p w14:paraId="46AF4B71" w14:textId="77777777" w:rsidR="00416AF1" w:rsidRPr="009D50BC" w:rsidRDefault="00416AF1">
      <w:pPr>
        <w:pStyle w:val="Standard"/>
        <w:ind w:left="270" w:hanging="270"/>
        <w:jc w:val="center"/>
        <w:rPr>
          <w:b/>
          <w:bCs/>
          <w:color w:val="000000" w:themeColor="text1"/>
          <w:lang w:bidi="ar-SA"/>
        </w:rPr>
      </w:pPr>
    </w:p>
    <w:p w14:paraId="02449104" w14:textId="77777777" w:rsidR="00B41614" w:rsidRDefault="00B41614">
      <w:pPr>
        <w:pStyle w:val="Standard"/>
      </w:pPr>
    </w:p>
    <w:sectPr w:rsidR="00B41614">
      <w:footerReference w:type="default" r:id="rId10"/>
      <w:pgSz w:w="12240" w:h="15840"/>
      <w:pgMar w:top="719" w:right="1800" w:bottom="899"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3B4D" w14:textId="77777777" w:rsidR="00021EF6" w:rsidRDefault="00021EF6">
      <w:r>
        <w:separator/>
      </w:r>
    </w:p>
  </w:endnote>
  <w:endnote w:type="continuationSeparator" w:id="0">
    <w:p w14:paraId="564E4421" w14:textId="77777777" w:rsidR="00021EF6" w:rsidRDefault="000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achlieli CLM">
    <w:charset w:val="00"/>
    <w:family w:val="auto"/>
    <w:pitch w:val="variable"/>
  </w:font>
  <w:font w:name="David CLM">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BD20" w14:textId="77777777" w:rsidR="00EE707F" w:rsidRDefault="00416AF1">
    <w:pPr>
      <w:pStyle w:val="Footer"/>
      <w:jc w:val="center"/>
    </w:pPr>
    <w:r>
      <w:fldChar w:fldCharType="begin"/>
    </w:r>
    <w:r>
      <w:instrText xml:space="preserve"> PAGE </w:instrText>
    </w:r>
    <w:r>
      <w:fldChar w:fldCharType="separate"/>
    </w:r>
    <w:r>
      <w:t>4</w:t>
    </w:r>
    <w:r>
      <w:fldChar w:fldCharType="end"/>
    </w:r>
  </w:p>
  <w:p w14:paraId="79A447DE" w14:textId="77777777" w:rsidR="00EE707F" w:rsidRDefault="0007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50A9" w14:textId="77777777" w:rsidR="00021EF6" w:rsidRDefault="00021EF6">
      <w:r>
        <w:rPr>
          <w:color w:val="000000"/>
        </w:rPr>
        <w:separator/>
      </w:r>
    </w:p>
  </w:footnote>
  <w:footnote w:type="continuationSeparator" w:id="0">
    <w:p w14:paraId="2411D732" w14:textId="77777777" w:rsidR="00021EF6" w:rsidRDefault="0002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06F"/>
    <w:multiLevelType w:val="multilevel"/>
    <w:tmpl w:val="B83087DA"/>
    <w:styleLink w:val="WWNum1"/>
    <w:lvl w:ilvl="0">
      <w:numFmt w:val="bullet"/>
      <w:lvlText w:val=""/>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40F07D49"/>
    <w:multiLevelType w:val="multilevel"/>
    <w:tmpl w:val="72188A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9866DB2"/>
    <w:multiLevelType w:val="hybridMultilevel"/>
    <w:tmpl w:val="063A5468"/>
    <w:lvl w:ilvl="0" w:tplc="20000001">
      <w:start w:val="1"/>
      <w:numFmt w:val="bullet"/>
      <w:lvlText w:val=""/>
      <w:lvlJc w:val="left"/>
      <w:pPr>
        <w:ind w:left="742" w:hanging="360"/>
      </w:pPr>
      <w:rPr>
        <w:rFonts w:ascii="Symbol" w:hAnsi="Symbol" w:hint="default"/>
      </w:rPr>
    </w:lvl>
    <w:lvl w:ilvl="1" w:tplc="20000003" w:tentative="1">
      <w:start w:val="1"/>
      <w:numFmt w:val="bullet"/>
      <w:lvlText w:val="o"/>
      <w:lvlJc w:val="left"/>
      <w:pPr>
        <w:ind w:left="1462" w:hanging="360"/>
      </w:pPr>
      <w:rPr>
        <w:rFonts w:ascii="Courier New" w:hAnsi="Courier New" w:cs="Courier New" w:hint="default"/>
      </w:rPr>
    </w:lvl>
    <w:lvl w:ilvl="2" w:tplc="20000005" w:tentative="1">
      <w:start w:val="1"/>
      <w:numFmt w:val="bullet"/>
      <w:lvlText w:val=""/>
      <w:lvlJc w:val="left"/>
      <w:pPr>
        <w:ind w:left="2182" w:hanging="360"/>
      </w:pPr>
      <w:rPr>
        <w:rFonts w:ascii="Wingdings" w:hAnsi="Wingdings" w:hint="default"/>
      </w:rPr>
    </w:lvl>
    <w:lvl w:ilvl="3" w:tplc="20000001" w:tentative="1">
      <w:start w:val="1"/>
      <w:numFmt w:val="bullet"/>
      <w:lvlText w:val=""/>
      <w:lvlJc w:val="left"/>
      <w:pPr>
        <w:ind w:left="2902" w:hanging="360"/>
      </w:pPr>
      <w:rPr>
        <w:rFonts w:ascii="Symbol" w:hAnsi="Symbol" w:hint="default"/>
      </w:rPr>
    </w:lvl>
    <w:lvl w:ilvl="4" w:tplc="20000003" w:tentative="1">
      <w:start w:val="1"/>
      <w:numFmt w:val="bullet"/>
      <w:lvlText w:val="o"/>
      <w:lvlJc w:val="left"/>
      <w:pPr>
        <w:ind w:left="3622" w:hanging="360"/>
      </w:pPr>
      <w:rPr>
        <w:rFonts w:ascii="Courier New" w:hAnsi="Courier New" w:cs="Courier New" w:hint="default"/>
      </w:rPr>
    </w:lvl>
    <w:lvl w:ilvl="5" w:tplc="20000005" w:tentative="1">
      <w:start w:val="1"/>
      <w:numFmt w:val="bullet"/>
      <w:lvlText w:val=""/>
      <w:lvlJc w:val="left"/>
      <w:pPr>
        <w:ind w:left="4342" w:hanging="360"/>
      </w:pPr>
      <w:rPr>
        <w:rFonts w:ascii="Wingdings" w:hAnsi="Wingdings" w:hint="default"/>
      </w:rPr>
    </w:lvl>
    <w:lvl w:ilvl="6" w:tplc="20000001" w:tentative="1">
      <w:start w:val="1"/>
      <w:numFmt w:val="bullet"/>
      <w:lvlText w:val=""/>
      <w:lvlJc w:val="left"/>
      <w:pPr>
        <w:ind w:left="5062" w:hanging="360"/>
      </w:pPr>
      <w:rPr>
        <w:rFonts w:ascii="Symbol" w:hAnsi="Symbol" w:hint="default"/>
      </w:rPr>
    </w:lvl>
    <w:lvl w:ilvl="7" w:tplc="20000003" w:tentative="1">
      <w:start w:val="1"/>
      <w:numFmt w:val="bullet"/>
      <w:lvlText w:val="o"/>
      <w:lvlJc w:val="left"/>
      <w:pPr>
        <w:ind w:left="5782" w:hanging="360"/>
      </w:pPr>
      <w:rPr>
        <w:rFonts w:ascii="Courier New" w:hAnsi="Courier New" w:cs="Courier New" w:hint="default"/>
      </w:rPr>
    </w:lvl>
    <w:lvl w:ilvl="8" w:tplc="2000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14"/>
    <w:rsid w:val="0000759C"/>
    <w:rsid w:val="00010B3B"/>
    <w:rsid w:val="000141AB"/>
    <w:rsid w:val="00021EF6"/>
    <w:rsid w:val="00037981"/>
    <w:rsid w:val="00040EA2"/>
    <w:rsid w:val="0004644B"/>
    <w:rsid w:val="00052B3B"/>
    <w:rsid w:val="000718F6"/>
    <w:rsid w:val="000B7C74"/>
    <w:rsid w:val="000E34DB"/>
    <w:rsid w:val="00127E79"/>
    <w:rsid w:val="00133020"/>
    <w:rsid w:val="00144AB0"/>
    <w:rsid w:val="0015515A"/>
    <w:rsid w:val="00171BC3"/>
    <w:rsid w:val="00184ADA"/>
    <w:rsid w:val="001C3F76"/>
    <w:rsid w:val="001E047E"/>
    <w:rsid w:val="002373A6"/>
    <w:rsid w:val="00243361"/>
    <w:rsid w:val="00282749"/>
    <w:rsid w:val="002B4F13"/>
    <w:rsid w:val="003059B7"/>
    <w:rsid w:val="00367A42"/>
    <w:rsid w:val="00371A53"/>
    <w:rsid w:val="00387786"/>
    <w:rsid w:val="00416AF1"/>
    <w:rsid w:val="00434DED"/>
    <w:rsid w:val="00475169"/>
    <w:rsid w:val="0049702C"/>
    <w:rsid w:val="004E7107"/>
    <w:rsid w:val="0059005D"/>
    <w:rsid w:val="0059054F"/>
    <w:rsid w:val="005B23C0"/>
    <w:rsid w:val="00605795"/>
    <w:rsid w:val="00610C7A"/>
    <w:rsid w:val="00622F8A"/>
    <w:rsid w:val="00664A8D"/>
    <w:rsid w:val="00667D7A"/>
    <w:rsid w:val="006839B7"/>
    <w:rsid w:val="00691340"/>
    <w:rsid w:val="006C4131"/>
    <w:rsid w:val="006D782C"/>
    <w:rsid w:val="00721B11"/>
    <w:rsid w:val="00790196"/>
    <w:rsid w:val="00794DDF"/>
    <w:rsid w:val="007E281A"/>
    <w:rsid w:val="00815479"/>
    <w:rsid w:val="008412E1"/>
    <w:rsid w:val="008D1D8C"/>
    <w:rsid w:val="008F7E59"/>
    <w:rsid w:val="009415EC"/>
    <w:rsid w:val="009B679D"/>
    <w:rsid w:val="009D50BC"/>
    <w:rsid w:val="009E0405"/>
    <w:rsid w:val="00A33880"/>
    <w:rsid w:val="00A459A3"/>
    <w:rsid w:val="00B25C30"/>
    <w:rsid w:val="00B41614"/>
    <w:rsid w:val="00B45568"/>
    <w:rsid w:val="00B53BF7"/>
    <w:rsid w:val="00B54A7D"/>
    <w:rsid w:val="00B571A8"/>
    <w:rsid w:val="00B87F57"/>
    <w:rsid w:val="00BC1B40"/>
    <w:rsid w:val="00BE09A5"/>
    <w:rsid w:val="00BF1EA0"/>
    <w:rsid w:val="00C17DCD"/>
    <w:rsid w:val="00C26E40"/>
    <w:rsid w:val="00C77139"/>
    <w:rsid w:val="00C85D93"/>
    <w:rsid w:val="00C87409"/>
    <w:rsid w:val="00CC1C6A"/>
    <w:rsid w:val="00D0266C"/>
    <w:rsid w:val="00D334A7"/>
    <w:rsid w:val="00D375B0"/>
    <w:rsid w:val="00D84A6A"/>
    <w:rsid w:val="00D86C08"/>
    <w:rsid w:val="00DB1561"/>
    <w:rsid w:val="00E27BA6"/>
    <w:rsid w:val="00EB0755"/>
    <w:rsid w:val="00ED4DC5"/>
    <w:rsid w:val="00F02B56"/>
    <w:rsid w:val="00F234C9"/>
    <w:rsid w:val="00FA6D3F"/>
    <w:rsid w:val="00FD3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A29"/>
  <w15:docId w15:val="{8829A7DA-C1A4-42D8-BD5D-1D1B2845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Nachlieli CLM"/>
      <w:sz w:val="28"/>
      <w:szCs w:val="28"/>
    </w:rPr>
  </w:style>
  <w:style w:type="paragraph" w:customStyle="1" w:styleId="Textbody">
    <w:name w:val="Text body"/>
    <w:basedOn w:val="Standard"/>
    <w:pPr>
      <w:spacing w:after="140" w:line="276" w:lineRule="auto"/>
    </w:pPr>
  </w:style>
  <w:style w:type="paragraph" w:styleId="List">
    <w:name w:val="List"/>
    <w:basedOn w:val="Textbody"/>
    <w:rPr>
      <w:rFonts w:cs="David CLM"/>
    </w:rPr>
  </w:style>
  <w:style w:type="paragraph" w:styleId="Caption">
    <w:name w:val="caption"/>
    <w:basedOn w:val="Standard"/>
    <w:pPr>
      <w:suppressLineNumbers/>
      <w:spacing w:before="120" w:after="120"/>
    </w:pPr>
    <w:rPr>
      <w:rFonts w:cs="David CLM"/>
      <w:i/>
      <w:iCs/>
    </w:rPr>
  </w:style>
  <w:style w:type="paragraph" w:customStyle="1" w:styleId="Index">
    <w:name w:val="Index"/>
    <w:basedOn w:val="Standard"/>
    <w:pPr>
      <w:suppressLineNumbers/>
    </w:pPr>
    <w:rPr>
      <w:rFonts w:cs="David CLM"/>
    </w:rPr>
  </w:style>
  <w:style w:type="paragraph" w:customStyle="1" w:styleId="Textbodyindent">
    <w:name w:val="Text body indent"/>
    <w:basedOn w:val="Standard"/>
    <w:pPr>
      <w:ind w:left="283" w:hanging="283"/>
    </w:pPr>
    <w:rPr>
      <w:lang w:bidi="ar-SA"/>
    </w:rPr>
  </w:style>
  <w:style w:type="paragraph" w:styleId="PlainText">
    <w:name w:val="Plain Text"/>
    <w:basedOn w:val="Standard"/>
    <w:pPr>
      <w:bidi/>
      <w:jc w:val="right"/>
    </w:pPr>
    <w:rPr>
      <w:rFonts w:ascii="Courier New" w:eastAsia="Courier New" w:hAnsi="Courier New" w:cs="Courier New"/>
      <w:sz w:val="20"/>
      <w:szCs w:val="20"/>
      <w:lang w:bidi="ar-SA"/>
    </w:rPr>
  </w:style>
  <w:style w:type="paragraph" w:customStyle="1" w:styleId="HeaderandFooter">
    <w:name w:val="Header and Footer"/>
    <w:basedOn w:val="Standard"/>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character" w:customStyle="1" w:styleId="Internetlink">
    <w:name w:val="Internet link"/>
    <w:rPr>
      <w:color w:val="0000FF"/>
      <w:u w:val="single"/>
    </w:rPr>
  </w:style>
  <w:style w:type="character" w:customStyle="1" w:styleId="addmd1">
    <w:name w:val="addmd1"/>
    <w:basedOn w:val="DefaultParagraphFont"/>
    <w:rPr>
      <w:sz w:val="20"/>
      <w:szCs w:val="20"/>
    </w:rPr>
  </w:style>
  <w:style w:type="character" w:customStyle="1" w:styleId="citation">
    <w:name w:val="citation"/>
    <w:basedOn w:val="DefaultParagraphFont"/>
    <w:rPr>
      <w:i w:val="0"/>
      <w:iCs w:val="0"/>
    </w:rPr>
  </w:style>
  <w:style w:type="character" w:customStyle="1" w:styleId="VisitedInternetLink">
    <w:name w:val="Visited Internet Link"/>
    <w:basedOn w:val="DefaultParagraphFont"/>
    <w:rPr>
      <w:color w:val="800080"/>
      <w:u w:val="single"/>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Hyperlink">
    <w:name w:val="Hyperlink"/>
    <w:basedOn w:val="DefaultParagraphFont"/>
    <w:uiPriority w:val="99"/>
    <w:unhideWhenUsed/>
    <w:rsid w:val="00416AF1"/>
    <w:rPr>
      <w:color w:val="0563C1" w:themeColor="hyperlink"/>
      <w:u w:val="single"/>
    </w:rPr>
  </w:style>
  <w:style w:type="character" w:styleId="UnresolvedMention">
    <w:name w:val="Unresolved Mention"/>
    <w:basedOn w:val="DefaultParagraphFont"/>
    <w:uiPriority w:val="99"/>
    <w:semiHidden/>
    <w:unhideWhenUsed/>
    <w:rsid w:val="00416AF1"/>
    <w:rPr>
      <w:color w:val="605E5C"/>
      <w:shd w:val="clear" w:color="auto" w:fill="E1DFDD"/>
    </w:rPr>
  </w:style>
  <w:style w:type="character" w:styleId="FollowedHyperlink">
    <w:name w:val="FollowedHyperlink"/>
    <w:basedOn w:val="DefaultParagraphFont"/>
    <w:uiPriority w:val="99"/>
    <w:semiHidden/>
    <w:unhideWhenUsed/>
    <w:rsid w:val="00416AF1"/>
    <w:rPr>
      <w:color w:val="954F72" w:themeColor="followedHyperlink"/>
      <w:u w:val="single"/>
    </w:rPr>
  </w:style>
  <w:style w:type="paragraph" w:styleId="BalloonText">
    <w:name w:val="Balloon Text"/>
    <w:basedOn w:val="Normal"/>
    <w:link w:val="BalloonTextChar"/>
    <w:uiPriority w:val="99"/>
    <w:semiHidden/>
    <w:unhideWhenUsed/>
    <w:rsid w:val="00127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natan.kapla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ji.alma.exlibrisgroup.com/leganto/public/972HUJI_INST/lists/6791515860003701?auth=SA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Hebrew University of Jerusalem</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Hebrew University of Jerusalem</dc:title>
  <dc:creator>Irisas</dc:creator>
  <cp:lastModifiedBy>Nadine Ziyadeh</cp:lastModifiedBy>
  <cp:revision>9</cp:revision>
  <cp:lastPrinted>2021-08-04T07:06:00Z</cp:lastPrinted>
  <dcterms:created xsi:type="dcterms:W3CDTF">2022-08-23T08:05:00Z</dcterms:created>
  <dcterms:modified xsi:type="dcterms:W3CDTF">2022-09-15T06:02:00Z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HUJI</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